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72E1" w14:textId="77777777" w:rsidR="00AB2D29" w:rsidRDefault="00AB2D29" w:rsidP="00AB2D29"/>
    <w:p w14:paraId="77BFCCCE" w14:textId="77777777" w:rsidR="00AB2D29" w:rsidRDefault="00AB2D29" w:rsidP="00AB2D29"/>
    <w:p w14:paraId="50BE7B35" w14:textId="77777777" w:rsidR="00AB2D29" w:rsidRDefault="00AB2D29" w:rsidP="00AB2D29"/>
    <w:p w14:paraId="5262E4CC" w14:textId="77777777" w:rsidR="00AB2D29" w:rsidRDefault="00AB2D29" w:rsidP="00AB2D29"/>
    <w:p w14:paraId="39A700E4" w14:textId="77777777" w:rsidR="00AB2D29" w:rsidRDefault="00AB2D29" w:rsidP="00AB2D29"/>
    <w:p w14:paraId="14E9B161" w14:textId="77777777" w:rsidR="00AB2D29" w:rsidRDefault="00AB2D29" w:rsidP="00AB2D29"/>
    <w:p w14:paraId="20E36653" w14:textId="7FD26605" w:rsidR="00AB2D29" w:rsidRDefault="00AB2D29" w:rsidP="00AB2D29">
      <w:pPr>
        <w:ind w:left="1800"/>
        <w:rPr>
          <w:b/>
          <w:bCs/>
          <w:sz w:val="52"/>
          <w:szCs w:val="52"/>
        </w:rPr>
      </w:pPr>
      <w:r w:rsidRPr="00AB2D29">
        <w:rPr>
          <w:b/>
          <w:bCs/>
          <w:sz w:val="52"/>
          <w:szCs w:val="52"/>
        </w:rPr>
        <w:t>Request for Quote</w:t>
      </w:r>
    </w:p>
    <w:p w14:paraId="6C418808" w14:textId="77777777" w:rsidR="00AB2D29" w:rsidRPr="000826F0" w:rsidRDefault="00AB2D29" w:rsidP="00AB2D29">
      <w:pPr>
        <w:ind w:left="1800"/>
        <w:rPr>
          <w:b/>
          <w:bCs/>
        </w:rPr>
      </w:pPr>
    </w:p>
    <w:p w14:paraId="3A445C1D" w14:textId="1AF9B2A0" w:rsidR="00AB2D29" w:rsidRPr="00AB2D29" w:rsidRDefault="00AB2D29" w:rsidP="00AB2D29">
      <w:pPr>
        <w:ind w:left="1800"/>
        <w:rPr>
          <w:b/>
          <w:bCs/>
          <w:sz w:val="52"/>
          <w:szCs w:val="52"/>
        </w:rPr>
      </w:pPr>
      <w:r w:rsidRPr="00AB2D29">
        <w:rPr>
          <w:b/>
          <w:bCs/>
          <w:sz w:val="52"/>
          <w:szCs w:val="52"/>
        </w:rPr>
        <w:t xml:space="preserve">Community Meeting Room </w:t>
      </w:r>
      <w:r w:rsidR="000826F0">
        <w:rPr>
          <w:b/>
          <w:bCs/>
          <w:sz w:val="52"/>
          <w:szCs w:val="52"/>
        </w:rPr>
        <w:t>-</w:t>
      </w:r>
      <w:r w:rsidRPr="00AB2D29">
        <w:rPr>
          <w:b/>
          <w:bCs/>
          <w:sz w:val="52"/>
          <w:szCs w:val="52"/>
        </w:rPr>
        <w:t>Audio/Visual Equipment</w:t>
      </w:r>
      <w:r w:rsidR="001A705E">
        <w:rPr>
          <w:b/>
          <w:bCs/>
          <w:sz w:val="52"/>
          <w:szCs w:val="52"/>
        </w:rPr>
        <w:t xml:space="preserve">, </w:t>
      </w:r>
      <w:r w:rsidRPr="00AB2D29">
        <w:rPr>
          <w:b/>
          <w:bCs/>
          <w:sz w:val="52"/>
          <w:szCs w:val="52"/>
        </w:rPr>
        <w:t>Installation &amp; Support</w:t>
      </w:r>
    </w:p>
    <w:p w14:paraId="0190F64F" w14:textId="77777777" w:rsidR="00AB2D29" w:rsidRDefault="00AB2D29" w:rsidP="00AB2D29">
      <w:pPr>
        <w:ind w:left="1800"/>
      </w:pPr>
    </w:p>
    <w:p w14:paraId="6C554469" w14:textId="3CF1F921" w:rsidR="00AB2D29" w:rsidRPr="00B313D8" w:rsidRDefault="00B922DC" w:rsidP="00AB2D29">
      <w:pPr>
        <w:ind w:left="1800"/>
        <w:rPr>
          <w:b/>
          <w:bCs/>
        </w:rPr>
      </w:pPr>
      <w:r w:rsidRPr="00B313D8">
        <w:rPr>
          <w:b/>
          <w:bCs/>
        </w:rPr>
        <w:t>RFQ</w:t>
      </w:r>
      <w:r w:rsidR="00B313D8" w:rsidRPr="00B313D8">
        <w:rPr>
          <w:b/>
          <w:bCs/>
        </w:rPr>
        <w:t xml:space="preserve"> </w:t>
      </w:r>
      <w:r w:rsidRPr="00B313D8">
        <w:rPr>
          <w:b/>
          <w:bCs/>
        </w:rPr>
        <w:t>#</w:t>
      </w:r>
      <w:r w:rsidR="00CC1085">
        <w:rPr>
          <w:b/>
          <w:bCs/>
        </w:rPr>
        <w:t xml:space="preserve">: </w:t>
      </w:r>
      <w:r w:rsidR="00E50E7E">
        <w:rPr>
          <w:b/>
          <w:bCs/>
        </w:rPr>
        <w:t>08042</w:t>
      </w:r>
      <w:r w:rsidR="00B213BD">
        <w:rPr>
          <w:b/>
          <w:bCs/>
        </w:rPr>
        <w:t>3MC</w:t>
      </w:r>
    </w:p>
    <w:p w14:paraId="74DB4C0C" w14:textId="4147E0F2" w:rsidR="00AB2D29" w:rsidRDefault="00AB2D29" w:rsidP="00AB2D29">
      <w:pPr>
        <w:pStyle w:val="NoSpacing"/>
        <w:ind w:left="1800"/>
      </w:pPr>
      <w:r w:rsidRPr="00AB2D29">
        <w:rPr>
          <w:b/>
          <w:bCs/>
        </w:rPr>
        <w:t>Open Date</w:t>
      </w:r>
      <w:r>
        <w:rPr>
          <w:b/>
          <w:bCs/>
        </w:rPr>
        <w:t xml:space="preserve">: </w:t>
      </w:r>
      <w:r w:rsidR="00386699">
        <w:t>August 4</w:t>
      </w:r>
      <w:r w:rsidRPr="00AB2D29">
        <w:t>, 2023</w:t>
      </w:r>
    </w:p>
    <w:p w14:paraId="252E8CB4" w14:textId="6A9F86EE" w:rsidR="00AB2D29" w:rsidRDefault="00AB2D29" w:rsidP="00AB2D29">
      <w:pPr>
        <w:pStyle w:val="NoSpacing"/>
        <w:ind w:left="1800"/>
      </w:pPr>
      <w:r>
        <w:rPr>
          <w:b/>
          <w:bCs/>
        </w:rPr>
        <w:t>Close Date:</w:t>
      </w:r>
      <w:r>
        <w:t xml:space="preserve"> August </w:t>
      </w:r>
      <w:r w:rsidR="00386699">
        <w:t>25</w:t>
      </w:r>
      <w:r>
        <w:t>, 2023</w:t>
      </w:r>
    </w:p>
    <w:p w14:paraId="163D630B" w14:textId="77777777" w:rsidR="001F46C0" w:rsidRDefault="001F46C0" w:rsidP="001F46C0">
      <w:pPr>
        <w:pStyle w:val="NoSpacing"/>
        <w:ind w:left="1800"/>
      </w:pPr>
    </w:p>
    <w:p w14:paraId="0F88A1B7" w14:textId="07B0AD25" w:rsidR="000826F0" w:rsidRPr="001F46C0" w:rsidRDefault="001F46C0" w:rsidP="000826F0">
      <w:pPr>
        <w:pStyle w:val="NoSpacing"/>
        <w:ind w:left="1800"/>
        <w:rPr>
          <w:b/>
          <w:bCs/>
        </w:rPr>
      </w:pPr>
      <w:r w:rsidRPr="001F46C0">
        <w:rPr>
          <w:b/>
          <w:bCs/>
        </w:rPr>
        <w:t>Single Point of Contact:</w:t>
      </w:r>
    </w:p>
    <w:p w14:paraId="5A127F56" w14:textId="31B89105" w:rsidR="001F46C0" w:rsidRDefault="001F46C0" w:rsidP="001F46C0">
      <w:pPr>
        <w:pStyle w:val="NoSpacing"/>
        <w:ind w:left="1800"/>
      </w:pPr>
      <w:r>
        <w:t>Matt Christensen</w:t>
      </w:r>
    </w:p>
    <w:p w14:paraId="6B8D7D33" w14:textId="6E97650B" w:rsidR="001F46C0" w:rsidRDefault="001F46C0" w:rsidP="001F46C0">
      <w:pPr>
        <w:pStyle w:val="NoSpacing"/>
        <w:ind w:left="1800"/>
      </w:pPr>
      <w:r>
        <w:t>Technology Services Manager</w:t>
      </w:r>
    </w:p>
    <w:p w14:paraId="0E01D950" w14:textId="75CBAE9F" w:rsidR="001F46C0" w:rsidRDefault="001F46C0" w:rsidP="001F46C0">
      <w:pPr>
        <w:pStyle w:val="NoSpacing"/>
        <w:ind w:left="1800"/>
      </w:pPr>
      <w:r>
        <w:t>Rogue Valley Transportation District</w:t>
      </w:r>
    </w:p>
    <w:p w14:paraId="1E293056" w14:textId="2FFCD4C7" w:rsidR="001F46C0" w:rsidRDefault="001F46C0" w:rsidP="001F46C0">
      <w:pPr>
        <w:pStyle w:val="NoSpacing"/>
        <w:ind w:left="1800"/>
      </w:pPr>
      <w:r>
        <w:t>3200 Crater Lake Ave</w:t>
      </w:r>
    </w:p>
    <w:p w14:paraId="4D388707" w14:textId="6F7CA1D6" w:rsidR="001F46C0" w:rsidRDefault="001F46C0" w:rsidP="001F46C0">
      <w:pPr>
        <w:pStyle w:val="NoSpacing"/>
        <w:ind w:left="1800"/>
      </w:pPr>
      <w:r>
        <w:t>Medford Oregon 97504</w:t>
      </w:r>
    </w:p>
    <w:p w14:paraId="5391A552" w14:textId="6015FCC2" w:rsidR="001F46C0" w:rsidRDefault="00000000" w:rsidP="001F46C0">
      <w:pPr>
        <w:pStyle w:val="NoSpacing"/>
        <w:ind w:left="1800"/>
      </w:pPr>
      <w:hyperlink r:id="rId8" w:history="1">
        <w:r w:rsidR="001F46C0" w:rsidRPr="00F4059E">
          <w:rPr>
            <w:rStyle w:val="Hyperlink"/>
          </w:rPr>
          <w:t>mchristensen@rvtd.org</w:t>
        </w:r>
      </w:hyperlink>
    </w:p>
    <w:p w14:paraId="64872D53" w14:textId="11CA2210" w:rsidR="00D11ADD" w:rsidRDefault="000826F0" w:rsidP="001F46C0">
      <w:pPr>
        <w:pStyle w:val="NoSpacing"/>
        <w:ind w:left="1800"/>
      </w:pPr>
      <w:r>
        <w:t>541-842-2094</w:t>
      </w:r>
    </w:p>
    <w:p w14:paraId="128973E4" w14:textId="77777777" w:rsidR="00D11ADD" w:rsidRDefault="00D11ADD">
      <w:r>
        <w:br w:type="page"/>
      </w:r>
    </w:p>
    <w:p w14:paraId="47595715" w14:textId="3AE93B12" w:rsidR="00102C0D" w:rsidRPr="005D4879" w:rsidRDefault="00760A81" w:rsidP="00760A81">
      <w:pPr>
        <w:ind w:left="1800"/>
        <w:rPr>
          <w:b/>
          <w:bCs/>
          <w:sz w:val="40"/>
          <w:szCs w:val="40"/>
        </w:rPr>
      </w:pPr>
      <w:r w:rsidRPr="005D4879">
        <w:rPr>
          <w:b/>
          <w:bCs/>
          <w:sz w:val="40"/>
          <w:szCs w:val="40"/>
        </w:rPr>
        <w:lastRenderedPageBreak/>
        <w:t>Table of Contents</w:t>
      </w:r>
    </w:p>
    <w:p w14:paraId="28ACE16A" w14:textId="77777777" w:rsidR="005D4879" w:rsidRDefault="005D4879" w:rsidP="00760A81">
      <w:pPr>
        <w:ind w:left="1800"/>
        <w:rPr>
          <w:sz w:val="40"/>
          <w:szCs w:val="40"/>
        </w:rPr>
      </w:pPr>
    </w:p>
    <w:p w14:paraId="22FD3037" w14:textId="75888DB7" w:rsidR="00EE332B" w:rsidRPr="00062805" w:rsidRDefault="00656F1C" w:rsidP="0004580E">
      <w:pPr>
        <w:pStyle w:val="ListParagraph"/>
        <w:numPr>
          <w:ilvl w:val="0"/>
          <w:numId w:val="5"/>
        </w:numPr>
        <w:ind w:left="1080"/>
        <w:rPr>
          <w:sz w:val="28"/>
          <w:szCs w:val="28"/>
        </w:rPr>
      </w:pPr>
      <w:r w:rsidRPr="005D4879">
        <w:rPr>
          <w:b/>
          <w:bCs/>
          <w:sz w:val="28"/>
          <w:szCs w:val="28"/>
        </w:rPr>
        <w:t>Background Information</w:t>
      </w:r>
      <w:r w:rsidR="00D071B1" w:rsidRPr="00062805">
        <w:rPr>
          <w:sz w:val="28"/>
          <w:szCs w:val="28"/>
          <w:u w:val="single"/>
        </w:rPr>
        <w:tab/>
      </w:r>
      <w:r w:rsidR="00D071B1" w:rsidRPr="00062805">
        <w:rPr>
          <w:sz w:val="28"/>
          <w:szCs w:val="28"/>
          <w:u w:val="single"/>
        </w:rPr>
        <w:tab/>
      </w:r>
      <w:r w:rsidR="00D071B1" w:rsidRPr="00062805">
        <w:rPr>
          <w:sz w:val="28"/>
          <w:szCs w:val="28"/>
          <w:u w:val="single"/>
        </w:rPr>
        <w:tab/>
      </w:r>
      <w:r w:rsidR="00D071B1" w:rsidRPr="00062805">
        <w:rPr>
          <w:sz w:val="28"/>
          <w:szCs w:val="28"/>
          <w:u w:val="single"/>
        </w:rPr>
        <w:tab/>
      </w:r>
      <w:r w:rsidR="00D8344B">
        <w:rPr>
          <w:sz w:val="28"/>
          <w:szCs w:val="28"/>
          <w:u w:val="single"/>
        </w:rPr>
        <w:tab/>
      </w:r>
      <w:r w:rsidR="00D8344B">
        <w:rPr>
          <w:sz w:val="28"/>
          <w:szCs w:val="28"/>
          <w:u w:val="single"/>
        </w:rPr>
        <w:tab/>
      </w:r>
      <w:r w:rsidR="00D071B1" w:rsidRPr="00062805">
        <w:rPr>
          <w:sz w:val="28"/>
          <w:szCs w:val="28"/>
          <w:u w:val="single"/>
        </w:rPr>
        <w:tab/>
      </w:r>
      <w:r w:rsidR="00062805" w:rsidRPr="00062805">
        <w:rPr>
          <w:sz w:val="28"/>
          <w:szCs w:val="28"/>
          <w:u w:val="single"/>
        </w:rPr>
        <w:t xml:space="preserve">         </w:t>
      </w:r>
      <w:r w:rsidR="008C669B">
        <w:rPr>
          <w:sz w:val="28"/>
          <w:szCs w:val="28"/>
          <w:u w:val="single"/>
        </w:rPr>
        <w:t>3</w:t>
      </w:r>
    </w:p>
    <w:p w14:paraId="5D46CDDA" w14:textId="12B18E75" w:rsidR="00D071B1" w:rsidRPr="00062805" w:rsidRDefault="000E49DD" w:rsidP="0004580E">
      <w:pPr>
        <w:pStyle w:val="ListParagraph"/>
        <w:numPr>
          <w:ilvl w:val="0"/>
          <w:numId w:val="5"/>
        </w:numPr>
        <w:ind w:left="1080"/>
        <w:rPr>
          <w:sz w:val="28"/>
          <w:szCs w:val="28"/>
        </w:rPr>
      </w:pPr>
      <w:r w:rsidRPr="005D4879">
        <w:rPr>
          <w:b/>
          <w:bCs/>
          <w:sz w:val="28"/>
          <w:szCs w:val="28"/>
        </w:rPr>
        <w:t>Project Overview</w:t>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00D8344B">
        <w:rPr>
          <w:sz w:val="28"/>
          <w:szCs w:val="28"/>
          <w:u w:val="single"/>
        </w:rPr>
        <w:tab/>
      </w:r>
      <w:r w:rsidR="00D8344B">
        <w:rPr>
          <w:sz w:val="28"/>
          <w:szCs w:val="28"/>
          <w:u w:val="single"/>
        </w:rPr>
        <w:tab/>
      </w:r>
      <w:r w:rsidRPr="00062805">
        <w:rPr>
          <w:sz w:val="28"/>
          <w:szCs w:val="28"/>
          <w:u w:val="single"/>
        </w:rPr>
        <w:tab/>
        <w:t xml:space="preserve">         </w:t>
      </w:r>
      <w:r w:rsidR="008C669B">
        <w:rPr>
          <w:sz w:val="28"/>
          <w:szCs w:val="28"/>
          <w:u w:val="single"/>
        </w:rPr>
        <w:t>3</w:t>
      </w:r>
    </w:p>
    <w:p w14:paraId="32690F46" w14:textId="40B2E46A" w:rsidR="0034459F" w:rsidRPr="00062805" w:rsidRDefault="0034459F" w:rsidP="0004580E">
      <w:pPr>
        <w:pStyle w:val="ListParagraph"/>
        <w:numPr>
          <w:ilvl w:val="0"/>
          <w:numId w:val="5"/>
        </w:numPr>
        <w:ind w:left="1080"/>
        <w:rPr>
          <w:sz w:val="28"/>
          <w:szCs w:val="28"/>
        </w:rPr>
      </w:pPr>
      <w:r w:rsidRPr="005D4879">
        <w:rPr>
          <w:b/>
          <w:bCs/>
          <w:sz w:val="28"/>
          <w:szCs w:val="28"/>
        </w:rPr>
        <w:t>AV System Description</w:t>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00D8344B">
        <w:rPr>
          <w:sz w:val="28"/>
          <w:szCs w:val="28"/>
          <w:u w:val="single"/>
        </w:rPr>
        <w:tab/>
      </w:r>
      <w:r w:rsidR="00D8344B">
        <w:rPr>
          <w:sz w:val="28"/>
          <w:szCs w:val="28"/>
          <w:u w:val="single"/>
        </w:rPr>
        <w:tab/>
      </w:r>
      <w:r w:rsidRPr="00062805">
        <w:rPr>
          <w:sz w:val="28"/>
          <w:szCs w:val="28"/>
          <w:u w:val="single"/>
        </w:rPr>
        <w:tab/>
        <w:t xml:space="preserve">         </w:t>
      </w:r>
      <w:r w:rsidR="008C669B">
        <w:rPr>
          <w:sz w:val="28"/>
          <w:szCs w:val="28"/>
          <w:u w:val="single"/>
        </w:rPr>
        <w:t>4</w:t>
      </w:r>
    </w:p>
    <w:p w14:paraId="611C5115" w14:textId="29F17C0B" w:rsidR="000E49DD" w:rsidRDefault="0034459F" w:rsidP="0004580E">
      <w:pPr>
        <w:pStyle w:val="ListParagraph"/>
        <w:numPr>
          <w:ilvl w:val="0"/>
          <w:numId w:val="5"/>
        </w:numPr>
        <w:ind w:left="1080"/>
        <w:rPr>
          <w:sz w:val="28"/>
          <w:szCs w:val="28"/>
        </w:rPr>
      </w:pPr>
      <w:r w:rsidRPr="005D4879">
        <w:rPr>
          <w:b/>
          <w:bCs/>
          <w:sz w:val="28"/>
          <w:szCs w:val="28"/>
        </w:rPr>
        <w:t>Scope of Work</w:t>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Pr="00062805">
        <w:rPr>
          <w:sz w:val="28"/>
          <w:szCs w:val="28"/>
          <w:u w:val="single"/>
        </w:rPr>
        <w:tab/>
      </w:r>
      <w:r w:rsidR="00D8344B">
        <w:rPr>
          <w:sz w:val="28"/>
          <w:szCs w:val="28"/>
          <w:u w:val="single"/>
        </w:rPr>
        <w:tab/>
      </w:r>
      <w:r w:rsidR="00D8344B">
        <w:rPr>
          <w:sz w:val="28"/>
          <w:szCs w:val="28"/>
          <w:u w:val="single"/>
        </w:rPr>
        <w:tab/>
      </w:r>
      <w:r w:rsidRPr="00062805">
        <w:rPr>
          <w:sz w:val="28"/>
          <w:szCs w:val="28"/>
          <w:u w:val="single"/>
        </w:rPr>
        <w:tab/>
      </w:r>
      <w:r w:rsidR="00062805" w:rsidRPr="00062805">
        <w:rPr>
          <w:sz w:val="28"/>
          <w:szCs w:val="28"/>
          <w:u w:val="single"/>
        </w:rPr>
        <w:t xml:space="preserve"> </w:t>
      </w:r>
      <w:r w:rsidRPr="00062805">
        <w:rPr>
          <w:sz w:val="28"/>
          <w:szCs w:val="28"/>
          <w:u w:val="single"/>
        </w:rPr>
        <w:t xml:space="preserve">        </w:t>
      </w:r>
      <w:r w:rsidR="008C669B">
        <w:rPr>
          <w:sz w:val="28"/>
          <w:szCs w:val="28"/>
          <w:u w:val="single"/>
        </w:rPr>
        <w:t>6</w:t>
      </w:r>
    </w:p>
    <w:p w14:paraId="1B46C13D" w14:textId="30307B0D" w:rsidR="00FF4AB5" w:rsidRDefault="00FF4AB5" w:rsidP="0004580E">
      <w:pPr>
        <w:pStyle w:val="ListParagraph"/>
        <w:numPr>
          <w:ilvl w:val="0"/>
          <w:numId w:val="5"/>
        </w:numPr>
        <w:ind w:left="1080"/>
        <w:rPr>
          <w:sz w:val="28"/>
          <w:szCs w:val="28"/>
        </w:rPr>
      </w:pPr>
      <w:r w:rsidRPr="00FF4AB5">
        <w:rPr>
          <w:b/>
          <w:bCs/>
          <w:sz w:val="28"/>
          <w:szCs w:val="28"/>
        </w:rPr>
        <w:t>Response Requirements</w:t>
      </w:r>
      <w:r w:rsidRPr="009B7D97">
        <w:rPr>
          <w:sz w:val="28"/>
          <w:szCs w:val="28"/>
          <w:u w:val="single"/>
        </w:rPr>
        <w:tab/>
      </w:r>
      <w:r w:rsidRPr="009B7D97">
        <w:rPr>
          <w:sz w:val="28"/>
          <w:szCs w:val="28"/>
          <w:u w:val="single"/>
        </w:rPr>
        <w:tab/>
      </w:r>
      <w:r w:rsidRPr="009B7D97">
        <w:rPr>
          <w:sz w:val="28"/>
          <w:szCs w:val="28"/>
          <w:u w:val="single"/>
        </w:rPr>
        <w:tab/>
      </w:r>
      <w:r w:rsidRPr="009B7D97">
        <w:rPr>
          <w:sz w:val="28"/>
          <w:szCs w:val="28"/>
          <w:u w:val="single"/>
        </w:rPr>
        <w:tab/>
      </w:r>
      <w:r w:rsidR="00D8344B">
        <w:rPr>
          <w:sz w:val="28"/>
          <w:szCs w:val="28"/>
          <w:u w:val="single"/>
        </w:rPr>
        <w:tab/>
      </w:r>
      <w:r w:rsidR="00D8344B">
        <w:rPr>
          <w:sz w:val="28"/>
          <w:szCs w:val="28"/>
          <w:u w:val="single"/>
        </w:rPr>
        <w:tab/>
      </w:r>
      <w:r w:rsidRPr="009B7D97">
        <w:rPr>
          <w:sz w:val="28"/>
          <w:szCs w:val="28"/>
          <w:u w:val="single"/>
        </w:rPr>
        <w:tab/>
        <w:t xml:space="preserve">         </w:t>
      </w:r>
      <w:r w:rsidR="008C669B">
        <w:rPr>
          <w:sz w:val="28"/>
          <w:szCs w:val="28"/>
          <w:u w:val="single"/>
        </w:rPr>
        <w:t>7</w:t>
      </w:r>
    </w:p>
    <w:p w14:paraId="529B9E2C" w14:textId="308BF3FE" w:rsidR="00FF4AB5" w:rsidRPr="0062344B" w:rsidRDefault="00FF4AB5" w:rsidP="0004580E">
      <w:pPr>
        <w:pStyle w:val="ListParagraph"/>
        <w:numPr>
          <w:ilvl w:val="0"/>
          <w:numId w:val="5"/>
        </w:numPr>
        <w:ind w:left="1080"/>
        <w:rPr>
          <w:sz w:val="28"/>
          <w:szCs w:val="28"/>
        </w:rPr>
      </w:pPr>
      <w:r>
        <w:rPr>
          <w:b/>
          <w:bCs/>
          <w:sz w:val="28"/>
          <w:szCs w:val="28"/>
        </w:rPr>
        <w:t>Schedule</w:t>
      </w:r>
      <w:r w:rsidR="009B7D97" w:rsidRPr="009B7D97">
        <w:rPr>
          <w:sz w:val="28"/>
          <w:szCs w:val="28"/>
          <w:u w:val="single"/>
        </w:rPr>
        <w:tab/>
      </w:r>
      <w:r w:rsidRPr="009B7D97">
        <w:rPr>
          <w:sz w:val="28"/>
          <w:szCs w:val="28"/>
          <w:u w:val="single"/>
        </w:rPr>
        <w:tab/>
      </w:r>
      <w:r w:rsidRPr="009B7D97">
        <w:rPr>
          <w:sz w:val="28"/>
          <w:szCs w:val="28"/>
          <w:u w:val="single"/>
        </w:rPr>
        <w:tab/>
      </w:r>
      <w:r w:rsidRPr="009B7D97">
        <w:rPr>
          <w:sz w:val="28"/>
          <w:szCs w:val="28"/>
          <w:u w:val="single"/>
        </w:rPr>
        <w:tab/>
      </w:r>
      <w:r w:rsidRPr="009B7D97">
        <w:rPr>
          <w:sz w:val="28"/>
          <w:szCs w:val="28"/>
          <w:u w:val="single"/>
        </w:rPr>
        <w:tab/>
      </w:r>
      <w:r w:rsidRPr="009B7D97">
        <w:rPr>
          <w:sz w:val="28"/>
          <w:szCs w:val="28"/>
          <w:u w:val="single"/>
        </w:rPr>
        <w:tab/>
      </w:r>
      <w:r w:rsidRPr="009B7D97">
        <w:rPr>
          <w:sz w:val="28"/>
          <w:szCs w:val="28"/>
          <w:u w:val="single"/>
        </w:rPr>
        <w:tab/>
      </w:r>
      <w:r w:rsidR="00D8344B">
        <w:rPr>
          <w:sz w:val="28"/>
          <w:szCs w:val="28"/>
          <w:u w:val="single"/>
        </w:rPr>
        <w:tab/>
      </w:r>
      <w:r w:rsidR="00D8344B">
        <w:rPr>
          <w:sz w:val="28"/>
          <w:szCs w:val="28"/>
          <w:u w:val="single"/>
        </w:rPr>
        <w:tab/>
      </w:r>
      <w:r w:rsidRPr="009B7D97">
        <w:rPr>
          <w:sz w:val="28"/>
          <w:szCs w:val="28"/>
          <w:u w:val="single"/>
        </w:rPr>
        <w:tab/>
        <w:t xml:space="preserve">        </w:t>
      </w:r>
      <w:r w:rsidRPr="0062344B">
        <w:rPr>
          <w:sz w:val="28"/>
          <w:szCs w:val="28"/>
          <w:u w:val="single"/>
        </w:rPr>
        <w:t xml:space="preserve"> </w:t>
      </w:r>
      <w:r w:rsidR="00D955A0">
        <w:rPr>
          <w:sz w:val="28"/>
          <w:szCs w:val="28"/>
          <w:u w:val="single"/>
        </w:rPr>
        <w:t>8</w:t>
      </w:r>
    </w:p>
    <w:p w14:paraId="4A14A467" w14:textId="77777777" w:rsidR="00062805" w:rsidRPr="00062805" w:rsidRDefault="00062805" w:rsidP="0004580E">
      <w:pPr>
        <w:pStyle w:val="ListParagraph"/>
        <w:ind w:left="1080"/>
        <w:rPr>
          <w:sz w:val="28"/>
          <w:szCs w:val="28"/>
        </w:rPr>
      </w:pPr>
    </w:p>
    <w:p w14:paraId="7D59591A" w14:textId="041C255A" w:rsidR="00CF2DFA" w:rsidRPr="00062805" w:rsidRDefault="00176D20" w:rsidP="0004580E">
      <w:pPr>
        <w:pStyle w:val="ListParagraph"/>
        <w:ind w:left="1080" w:hanging="360"/>
        <w:rPr>
          <w:sz w:val="28"/>
          <w:szCs w:val="28"/>
        </w:rPr>
      </w:pPr>
      <w:r w:rsidRPr="005D4879">
        <w:rPr>
          <w:b/>
          <w:bCs/>
          <w:sz w:val="28"/>
          <w:szCs w:val="28"/>
        </w:rPr>
        <w:t>Section A</w:t>
      </w:r>
      <w:r w:rsidRPr="00062805">
        <w:rPr>
          <w:sz w:val="28"/>
          <w:szCs w:val="28"/>
        </w:rPr>
        <w:t xml:space="preserve"> – Construction Documents</w:t>
      </w:r>
      <w:r w:rsidRPr="00062805">
        <w:rPr>
          <w:sz w:val="28"/>
          <w:szCs w:val="28"/>
          <w:u w:val="single"/>
        </w:rPr>
        <w:tab/>
      </w:r>
      <w:r w:rsidRPr="00062805">
        <w:rPr>
          <w:sz w:val="28"/>
          <w:szCs w:val="28"/>
          <w:u w:val="single"/>
        </w:rPr>
        <w:tab/>
      </w:r>
      <w:r w:rsidR="00D8344B">
        <w:rPr>
          <w:sz w:val="28"/>
          <w:szCs w:val="28"/>
          <w:u w:val="single"/>
        </w:rPr>
        <w:tab/>
      </w:r>
      <w:r w:rsidR="00D8344B">
        <w:rPr>
          <w:sz w:val="28"/>
          <w:szCs w:val="28"/>
          <w:u w:val="single"/>
        </w:rPr>
        <w:tab/>
      </w:r>
      <w:r w:rsidR="00D8344B">
        <w:rPr>
          <w:sz w:val="28"/>
          <w:szCs w:val="28"/>
          <w:u w:val="single"/>
        </w:rPr>
        <w:tab/>
      </w:r>
      <w:r w:rsidRPr="00062805">
        <w:rPr>
          <w:sz w:val="28"/>
          <w:szCs w:val="28"/>
          <w:u w:val="single"/>
        </w:rPr>
        <w:tab/>
      </w:r>
      <w:r w:rsidRPr="009B7D97">
        <w:rPr>
          <w:sz w:val="28"/>
          <w:szCs w:val="28"/>
          <w:u w:val="single"/>
        </w:rPr>
        <w:t xml:space="preserve">         </w:t>
      </w:r>
      <w:r w:rsidR="00D955A0">
        <w:rPr>
          <w:sz w:val="28"/>
          <w:szCs w:val="28"/>
          <w:u w:val="single"/>
        </w:rPr>
        <w:t>9</w:t>
      </w:r>
    </w:p>
    <w:p w14:paraId="10FAADA0" w14:textId="0D18F5B9" w:rsidR="00176D20" w:rsidRDefault="00176D20" w:rsidP="0004580E">
      <w:pPr>
        <w:pStyle w:val="ListParagraph"/>
        <w:ind w:left="1080" w:hanging="360"/>
        <w:rPr>
          <w:sz w:val="28"/>
          <w:szCs w:val="28"/>
          <w:u w:val="single"/>
        </w:rPr>
      </w:pPr>
      <w:r w:rsidRPr="005D4879">
        <w:rPr>
          <w:b/>
          <w:bCs/>
          <w:sz w:val="28"/>
          <w:szCs w:val="28"/>
        </w:rPr>
        <w:t>Section B</w:t>
      </w:r>
      <w:r w:rsidRPr="00062805">
        <w:rPr>
          <w:sz w:val="28"/>
          <w:szCs w:val="28"/>
        </w:rPr>
        <w:t xml:space="preserve"> – Equipment List</w:t>
      </w:r>
      <w:r w:rsidR="00DC0090" w:rsidRPr="00062805">
        <w:rPr>
          <w:sz w:val="28"/>
          <w:szCs w:val="28"/>
          <w:u w:val="single"/>
        </w:rPr>
        <w:tab/>
      </w:r>
      <w:r w:rsidR="00DC0090" w:rsidRPr="00062805">
        <w:rPr>
          <w:sz w:val="28"/>
          <w:szCs w:val="28"/>
          <w:u w:val="single"/>
        </w:rPr>
        <w:tab/>
      </w:r>
      <w:r w:rsidR="00DC0090" w:rsidRPr="00062805">
        <w:rPr>
          <w:sz w:val="28"/>
          <w:szCs w:val="28"/>
          <w:u w:val="single"/>
        </w:rPr>
        <w:tab/>
      </w:r>
      <w:r w:rsidR="00D8344B">
        <w:rPr>
          <w:sz w:val="28"/>
          <w:szCs w:val="28"/>
          <w:u w:val="single"/>
        </w:rPr>
        <w:tab/>
      </w:r>
      <w:r w:rsidR="00D8344B">
        <w:rPr>
          <w:sz w:val="28"/>
          <w:szCs w:val="28"/>
          <w:u w:val="single"/>
        </w:rPr>
        <w:tab/>
      </w:r>
      <w:r w:rsidR="00DC0090" w:rsidRPr="00062805">
        <w:rPr>
          <w:sz w:val="28"/>
          <w:szCs w:val="28"/>
          <w:u w:val="single"/>
        </w:rPr>
        <w:tab/>
      </w:r>
      <w:r w:rsidR="00DC0090" w:rsidRPr="00062805">
        <w:rPr>
          <w:sz w:val="28"/>
          <w:szCs w:val="28"/>
          <w:u w:val="single"/>
        </w:rPr>
        <w:tab/>
        <w:t xml:space="preserve">      </w:t>
      </w:r>
      <w:r w:rsidR="00D955A0">
        <w:rPr>
          <w:sz w:val="28"/>
          <w:szCs w:val="28"/>
          <w:u w:val="single"/>
        </w:rPr>
        <w:t>10</w:t>
      </w:r>
    </w:p>
    <w:p w14:paraId="4AB0FD4E" w14:textId="2AB3C8F5" w:rsidR="00EB14F2" w:rsidRDefault="00EB14F2" w:rsidP="0004580E">
      <w:pPr>
        <w:pStyle w:val="ListParagraph"/>
        <w:ind w:left="1080" w:hanging="360"/>
        <w:rPr>
          <w:b/>
          <w:bCs/>
          <w:sz w:val="28"/>
          <w:szCs w:val="28"/>
        </w:rPr>
      </w:pPr>
    </w:p>
    <w:p w14:paraId="4C1D44AA" w14:textId="1849EECA" w:rsidR="00EB14F2" w:rsidRPr="00EB14F2" w:rsidRDefault="00EB14F2" w:rsidP="0004580E">
      <w:pPr>
        <w:pStyle w:val="ListParagraph"/>
        <w:ind w:left="1080" w:hanging="360"/>
        <w:rPr>
          <w:sz w:val="28"/>
          <w:szCs w:val="28"/>
        </w:rPr>
      </w:pPr>
      <w:r>
        <w:rPr>
          <w:b/>
          <w:bCs/>
          <w:sz w:val="28"/>
          <w:szCs w:val="28"/>
        </w:rPr>
        <w:t xml:space="preserve">Exhibit A – </w:t>
      </w:r>
      <w:r w:rsidR="0004580E" w:rsidRPr="0004580E">
        <w:rPr>
          <w:sz w:val="28"/>
          <w:szCs w:val="28"/>
        </w:rPr>
        <w:t>F</w:t>
      </w:r>
      <w:r w:rsidR="0004580E">
        <w:rPr>
          <w:sz w:val="28"/>
          <w:szCs w:val="28"/>
        </w:rPr>
        <w:t>ederally</w:t>
      </w:r>
      <w:r w:rsidR="0004580E" w:rsidRPr="0004580E">
        <w:rPr>
          <w:sz w:val="28"/>
          <w:szCs w:val="28"/>
        </w:rPr>
        <w:t xml:space="preserve"> R</w:t>
      </w:r>
      <w:r w:rsidR="0004580E">
        <w:rPr>
          <w:sz w:val="28"/>
          <w:szCs w:val="28"/>
        </w:rPr>
        <w:t>equired and</w:t>
      </w:r>
      <w:r w:rsidR="0004580E" w:rsidRPr="0004580E">
        <w:rPr>
          <w:sz w:val="28"/>
          <w:szCs w:val="28"/>
        </w:rPr>
        <w:t xml:space="preserve"> </w:t>
      </w:r>
      <w:r w:rsidR="0004580E">
        <w:rPr>
          <w:sz w:val="28"/>
          <w:szCs w:val="28"/>
        </w:rPr>
        <w:t>Other</w:t>
      </w:r>
      <w:r w:rsidR="0004580E" w:rsidRPr="0004580E">
        <w:rPr>
          <w:sz w:val="28"/>
          <w:szCs w:val="28"/>
        </w:rPr>
        <w:t xml:space="preserve"> M</w:t>
      </w:r>
      <w:r w:rsidR="0004580E">
        <w:rPr>
          <w:sz w:val="28"/>
          <w:szCs w:val="28"/>
        </w:rPr>
        <w:t>odel</w:t>
      </w:r>
      <w:r w:rsidR="0004580E" w:rsidRPr="0004580E">
        <w:rPr>
          <w:sz w:val="28"/>
          <w:szCs w:val="28"/>
        </w:rPr>
        <w:t xml:space="preserve"> C</w:t>
      </w:r>
      <w:r w:rsidR="0004580E">
        <w:rPr>
          <w:sz w:val="28"/>
          <w:szCs w:val="28"/>
        </w:rPr>
        <w:t>ontract</w:t>
      </w:r>
      <w:r w:rsidR="0004580E" w:rsidRPr="0004580E">
        <w:rPr>
          <w:sz w:val="28"/>
          <w:szCs w:val="28"/>
        </w:rPr>
        <w:t xml:space="preserve"> C</w:t>
      </w:r>
      <w:r w:rsidR="0004580E">
        <w:rPr>
          <w:sz w:val="28"/>
          <w:szCs w:val="28"/>
        </w:rPr>
        <w:t>lauses</w:t>
      </w:r>
      <w:r w:rsidR="00D8344B" w:rsidRPr="0097260B">
        <w:rPr>
          <w:sz w:val="28"/>
          <w:szCs w:val="28"/>
          <w:u w:val="single"/>
        </w:rPr>
        <w:tab/>
        <w:t xml:space="preserve">     </w:t>
      </w:r>
      <w:r w:rsidR="0097260B" w:rsidRPr="0097260B">
        <w:rPr>
          <w:sz w:val="28"/>
          <w:szCs w:val="28"/>
          <w:u w:val="single"/>
        </w:rPr>
        <w:t xml:space="preserve"> </w:t>
      </w:r>
      <w:r w:rsidR="009E4A44">
        <w:rPr>
          <w:sz w:val="28"/>
          <w:szCs w:val="28"/>
        </w:rPr>
        <w:t>13</w:t>
      </w:r>
    </w:p>
    <w:p w14:paraId="1D696BDE" w14:textId="77777777" w:rsidR="007A30B1" w:rsidRDefault="007A30B1" w:rsidP="0004580E">
      <w:pPr>
        <w:pStyle w:val="ListParagraph"/>
        <w:ind w:left="1080"/>
        <w:rPr>
          <w:b/>
          <w:bCs/>
          <w:sz w:val="28"/>
          <w:szCs w:val="28"/>
        </w:rPr>
      </w:pPr>
    </w:p>
    <w:p w14:paraId="606C0199" w14:textId="77777777" w:rsidR="00B06D42" w:rsidRDefault="00B06D42" w:rsidP="0004580E">
      <w:pPr>
        <w:pStyle w:val="ListParagraph"/>
        <w:ind w:left="1080"/>
        <w:rPr>
          <w:b/>
          <w:bCs/>
          <w:sz w:val="28"/>
          <w:szCs w:val="28"/>
        </w:rPr>
      </w:pPr>
    </w:p>
    <w:p w14:paraId="5332CF38" w14:textId="77777777" w:rsidR="00B06D42" w:rsidRDefault="009B7B7A" w:rsidP="0004580E">
      <w:pPr>
        <w:pStyle w:val="ListParagraph"/>
        <w:ind w:left="1080" w:hanging="360"/>
        <w:rPr>
          <w:sz w:val="28"/>
          <w:szCs w:val="28"/>
        </w:rPr>
      </w:pPr>
      <w:r w:rsidRPr="00B06D42">
        <w:rPr>
          <w:sz w:val="28"/>
          <w:szCs w:val="28"/>
        </w:rPr>
        <w:t>Attachment A - RVTD Downtown Admin Construction Documents.pdf</w:t>
      </w:r>
    </w:p>
    <w:p w14:paraId="09B3CF99" w14:textId="153167C1" w:rsidR="00B06D42" w:rsidRPr="00B06D42" w:rsidRDefault="00B06D42" w:rsidP="0004580E">
      <w:pPr>
        <w:pStyle w:val="ListParagraph"/>
        <w:ind w:left="1080" w:hanging="360"/>
        <w:rPr>
          <w:sz w:val="28"/>
          <w:szCs w:val="28"/>
        </w:rPr>
      </w:pPr>
      <w:r w:rsidRPr="00B06D42">
        <w:rPr>
          <w:sz w:val="28"/>
          <w:szCs w:val="28"/>
        </w:rPr>
        <w:t>Attachment B - RVTD Community Meeting Room AV Pricing.xlsx</w:t>
      </w:r>
    </w:p>
    <w:p w14:paraId="591986BD" w14:textId="3D635933" w:rsidR="002268D5" w:rsidRDefault="002268D5">
      <w:r>
        <w:br w:type="page"/>
      </w:r>
    </w:p>
    <w:p w14:paraId="79946653" w14:textId="67026FE3" w:rsidR="005259C2" w:rsidRDefault="004F02A2" w:rsidP="00D8370D">
      <w:pPr>
        <w:pStyle w:val="AttH-1H"/>
        <w:ind w:left="1350" w:hanging="540"/>
        <w:rPr>
          <w:sz w:val="40"/>
          <w:szCs w:val="40"/>
        </w:rPr>
      </w:pPr>
      <w:r>
        <w:rPr>
          <w:sz w:val="40"/>
          <w:szCs w:val="40"/>
        </w:rPr>
        <w:lastRenderedPageBreak/>
        <w:t>Background</w:t>
      </w:r>
      <w:r w:rsidR="00E33033" w:rsidRPr="00643163">
        <w:rPr>
          <w:sz w:val="40"/>
          <w:szCs w:val="40"/>
        </w:rPr>
        <w:t xml:space="preserve"> Information</w:t>
      </w:r>
    </w:p>
    <w:p w14:paraId="580E7F34" w14:textId="5865189D" w:rsidR="00F6113A" w:rsidRDefault="00F6113A" w:rsidP="00F6113A">
      <w:pPr>
        <w:pStyle w:val="AttH-1H"/>
        <w:numPr>
          <w:ilvl w:val="0"/>
          <w:numId w:val="0"/>
        </w:numPr>
        <w:ind w:left="1800"/>
      </w:pPr>
      <w:r w:rsidRPr="004F1582">
        <w:t>The Rogue Valley Transportation District</w:t>
      </w:r>
      <w:r w:rsidR="00386699">
        <w:t xml:space="preserve"> (RVTD)</w:t>
      </w:r>
      <w:r w:rsidRPr="004F1582">
        <w:t xml:space="preserve"> is a Public Transportation Special District formed in 1975 and serves eight cities in Jackson County, Oregon. </w:t>
      </w:r>
      <w:r>
        <w:t>RVTD acquired the building located at 130 E. 8</w:t>
      </w:r>
      <w:r w:rsidRPr="00374C4A">
        <w:rPr>
          <w:vertAlign w:val="superscript"/>
        </w:rPr>
        <w:t>th</w:t>
      </w:r>
      <w:r>
        <w:t xml:space="preserve"> Street in Medford Oregon to house </w:t>
      </w:r>
      <w:proofErr w:type="gramStart"/>
      <w:r w:rsidR="00386699">
        <w:t>A</w:t>
      </w:r>
      <w:r w:rsidR="00CA3BF2">
        <w:t>dministrative</w:t>
      </w:r>
      <w:proofErr w:type="gramEnd"/>
      <w:r>
        <w:t xml:space="preserve"> </w:t>
      </w:r>
      <w:r w:rsidR="00E03008">
        <w:t>staff</w:t>
      </w:r>
      <w:r>
        <w:t xml:space="preserve"> </w:t>
      </w:r>
      <w:r w:rsidR="00914A81">
        <w:t xml:space="preserve">as well </w:t>
      </w:r>
      <w:r w:rsidR="00CA3BF2">
        <w:t xml:space="preserve">as </w:t>
      </w:r>
      <w:r w:rsidR="00EF7DD5">
        <w:t>a new Community Meeting Room</w:t>
      </w:r>
      <w:r w:rsidR="006D1C9E">
        <w:t>. The Community Meeting Room</w:t>
      </w:r>
      <w:r w:rsidR="00E52873">
        <w:t xml:space="preserve"> </w:t>
      </w:r>
      <w:r w:rsidR="006D1C9E">
        <w:t>is 1,084</w:t>
      </w:r>
      <w:r w:rsidR="00E52873">
        <w:t xml:space="preserve"> sq ft</w:t>
      </w:r>
      <w:r w:rsidR="00EF7DD5">
        <w:t xml:space="preserve"> </w:t>
      </w:r>
      <w:r w:rsidR="00E52873">
        <w:t xml:space="preserve">and will accommodate </w:t>
      </w:r>
      <w:r w:rsidR="00AF6FFA">
        <w:t xml:space="preserve">larger public meetings and </w:t>
      </w:r>
      <w:r w:rsidR="00E03008">
        <w:t xml:space="preserve">provide a </w:t>
      </w:r>
      <w:r w:rsidR="000E2A39">
        <w:t xml:space="preserve">dedicated </w:t>
      </w:r>
      <w:r w:rsidR="00522794">
        <w:t xml:space="preserve">meeting </w:t>
      </w:r>
      <w:r w:rsidR="000E2A39">
        <w:t>space for RVTD’s Board of Directors</w:t>
      </w:r>
      <w:r>
        <w:t>.</w:t>
      </w:r>
      <w:r w:rsidR="00522794">
        <w:t xml:space="preserve"> </w:t>
      </w:r>
    </w:p>
    <w:p w14:paraId="529CF9F0" w14:textId="2103E0AA" w:rsidR="00296476" w:rsidRDefault="00296476" w:rsidP="00F6113A">
      <w:pPr>
        <w:pStyle w:val="AttH-1H"/>
        <w:numPr>
          <w:ilvl w:val="0"/>
          <w:numId w:val="0"/>
        </w:numPr>
        <w:ind w:left="1800"/>
      </w:pPr>
      <w:r>
        <w:t xml:space="preserve">The building was previously used by Rogue Community College for theater and a dance studio. The area of the building that was the theater is </w:t>
      </w:r>
      <w:r w:rsidR="003F3065">
        <w:t>being</w:t>
      </w:r>
      <w:r>
        <w:t xml:space="preserve"> converted to an office suite and the Community Meeting Room. The space will have vaulted </w:t>
      </w:r>
      <w:r w:rsidR="003F3065">
        <w:t>ceilings</w:t>
      </w:r>
      <w:r>
        <w:t xml:space="preserve">, two new </w:t>
      </w:r>
      <w:r w:rsidR="00695E78">
        <w:t>walls</w:t>
      </w:r>
      <w:r>
        <w:t xml:space="preserve"> with acoustic wall ratings and a new floor. ORW Architecture is providing the architecture and eng</w:t>
      </w:r>
      <w:r w:rsidR="00F2095A">
        <w:t>ineering services for this project which has entered the construction phase. Adroit Construction is the general services contact for the construction of</w:t>
      </w:r>
      <w:r w:rsidR="000B49A5">
        <w:t xml:space="preserve"> this project. Adroit will provide electrical and data wiring for </w:t>
      </w:r>
      <w:r w:rsidR="003F3065">
        <w:t xml:space="preserve">the project. The </w:t>
      </w:r>
      <w:r w:rsidR="0004247B">
        <w:t xml:space="preserve">electrical </w:t>
      </w:r>
      <w:r w:rsidR="003F3065">
        <w:t xml:space="preserve">subcontractor has not been selected for the project as of RFQ publication. </w:t>
      </w:r>
    </w:p>
    <w:p w14:paraId="57CF62C5" w14:textId="77777777" w:rsidR="00FF4640" w:rsidRDefault="00FF4640" w:rsidP="00F6113A">
      <w:pPr>
        <w:pStyle w:val="AttH-1H"/>
        <w:numPr>
          <w:ilvl w:val="0"/>
          <w:numId w:val="0"/>
        </w:numPr>
        <w:ind w:left="1800"/>
      </w:pPr>
    </w:p>
    <w:p w14:paraId="27867FD9" w14:textId="66B75D8C" w:rsidR="00F6113A" w:rsidRPr="00643163" w:rsidRDefault="00D22EA7" w:rsidP="00D8370D">
      <w:pPr>
        <w:pStyle w:val="AttH-1H"/>
        <w:ind w:left="1350" w:hanging="540"/>
        <w:rPr>
          <w:sz w:val="40"/>
          <w:szCs w:val="40"/>
        </w:rPr>
      </w:pPr>
      <w:r>
        <w:rPr>
          <w:sz w:val="40"/>
          <w:szCs w:val="40"/>
        </w:rPr>
        <w:t>Project Overview</w:t>
      </w:r>
    </w:p>
    <w:p w14:paraId="371C09C5" w14:textId="266FC397" w:rsidR="00F1228F" w:rsidRDefault="007B3AC6" w:rsidP="00A05F0D">
      <w:pPr>
        <w:pStyle w:val="AttH-2H"/>
        <w:numPr>
          <w:ilvl w:val="0"/>
          <w:numId w:val="0"/>
        </w:numPr>
        <w:ind w:left="1800"/>
      </w:pPr>
      <w:r>
        <w:t xml:space="preserve">During the Design </w:t>
      </w:r>
      <w:r w:rsidR="00D012C8">
        <w:t>P</w:t>
      </w:r>
      <w:r>
        <w:t xml:space="preserve">hase </w:t>
      </w:r>
      <w:r w:rsidR="003F3065">
        <w:t>for</w:t>
      </w:r>
      <w:r>
        <w:t xml:space="preserve"> the building renovation</w:t>
      </w:r>
      <w:r w:rsidR="003F3065">
        <w:t xml:space="preserve"> plan</w:t>
      </w:r>
      <w:r>
        <w:t>, RVTD contacted with a</w:t>
      </w:r>
      <w:r w:rsidR="003447C1">
        <w:t>n</w:t>
      </w:r>
      <w:r>
        <w:t xml:space="preserve"> </w:t>
      </w:r>
      <w:r w:rsidR="00D50AF3" w:rsidRPr="003447C1">
        <w:t>Audio-Visual</w:t>
      </w:r>
      <w:r w:rsidR="003447C1" w:rsidRPr="003447C1">
        <w:t xml:space="preserve"> Integrator</w:t>
      </w:r>
      <w:r w:rsidR="003447C1">
        <w:t xml:space="preserve"> </w:t>
      </w:r>
      <w:r w:rsidR="003F3065">
        <w:t xml:space="preserve">(Solutionz) </w:t>
      </w:r>
      <w:r w:rsidR="003447C1">
        <w:t xml:space="preserve">to design </w:t>
      </w:r>
      <w:r w:rsidR="00D50AF3">
        <w:t xml:space="preserve">the </w:t>
      </w:r>
      <w:r w:rsidR="00DB19EA">
        <w:t xml:space="preserve">audio and visual capabilities </w:t>
      </w:r>
      <w:r w:rsidR="00D012C8">
        <w:t xml:space="preserve">of the </w:t>
      </w:r>
      <w:r w:rsidR="00D50AF3">
        <w:t>Community Meeting Room</w:t>
      </w:r>
      <w:r w:rsidR="003F3065">
        <w:t>. The goal is</w:t>
      </w:r>
      <w:r w:rsidR="00D50AF3">
        <w:t xml:space="preserve"> </w:t>
      </w:r>
      <w:r w:rsidR="00D012C8">
        <w:t xml:space="preserve">to provide </w:t>
      </w:r>
      <w:r w:rsidR="00A05E63">
        <w:t>for simple</w:t>
      </w:r>
      <w:r w:rsidR="003F3065">
        <w:t xml:space="preserve"> and</w:t>
      </w:r>
      <w:r w:rsidR="00A05E63">
        <w:t xml:space="preserve"> effective collaboration during </w:t>
      </w:r>
      <w:r w:rsidR="00A7149B">
        <w:t xml:space="preserve">public </w:t>
      </w:r>
      <w:r w:rsidR="003C6FDE">
        <w:t xml:space="preserve">and </w:t>
      </w:r>
      <w:r w:rsidR="00264496">
        <w:t xml:space="preserve">Board of Directors’ </w:t>
      </w:r>
      <w:r w:rsidR="00A7149B">
        <w:t>meetings</w:t>
      </w:r>
      <w:r w:rsidR="003C6FDE">
        <w:t xml:space="preserve"> with capabilities to support virtual participation</w:t>
      </w:r>
      <w:r w:rsidR="00A7149B">
        <w:t>.</w:t>
      </w:r>
      <w:r w:rsidR="003C6FDE">
        <w:t xml:space="preserve"> The identification o</w:t>
      </w:r>
      <w:r w:rsidR="00380669">
        <w:t>f</w:t>
      </w:r>
      <w:r w:rsidR="003C6FDE">
        <w:t xml:space="preserve"> the </w:t>
      </w:r>
      <w:r w:rsidR="00466AA9">
        <w:t>equipment to meet this goal is complete and</w:t>
      </w:r>
      <w:r w:rsidR="00A7149B">
        <w:t xml:space="preserve"> RVTD is </w:t>
      </w:r>
      <w:r w:rsidR="008232ED">
        <w:t xml:space="preserve">asking </w:t>
      </w:r>
      <w:r w:rsidR="00820167">
        <w:t xml:space="preserve">qualified vendors to </w:t>
      </w:r>
      <w:r w:rsidR="00A35762">
        <w:t xml:space="preserve">submit quotes </w:t>
      </w:r>
      <w:r w:rsidR="005E3244">
        <w:t xml:space="preserve">for the </w:t>
      </w:r>
      <w:r w:rsidR="00011767">
        <w:t>purchase</w:t>
      </w:r>
      <w:r w:rsidR="0093187A">
        <w:t xml:space="preserve">, installation, and </w:t>
      </w:r>
      <w:r w:rsidR="005357C0">
        <w:t xml:space="preserve">ongoing </w:t>
      </w:r>
      <w:r w:rsidR="0093187A">
        <w:t xml:space="preserve">support </w:t>
      </w:r>
      <w:r w:rsidR="00011767">
        <w:t>of the Community Meeting Room</w:t>
      </w:r>
      <w:r w:rsidR="00B7789F">
        <w:t>’s</w:t>
      </w:r>
      <w:r w:rsidR="00011767">
        <w:t xml:space="preserve"> audio-visual equipment.</w:t>
      </w:r>
    </w:p>
    <w:p w14:paraId="7CEB216A" w14:textId="2A5632C0" w:rsidR="00011767" w:rsidRDefault="001E678A" w:rsidP="003144C6">
      <w:pPr>
        <w:pStyle w:val="AttH-2H"/>
        <w:numPr>
          <w:ilvl w:val="0"/>
          <w:numId w:val="0"/>
        </w:numPr>
        <w:ind w:left="1800"/>
      </w:pPr>
      <w:r>
        <w:t xml:space="preserve">A full list of </w:t>
      </w:r>
      <w:r w:rsidR="00E2719D">
        <w:t xml:space="preserve">the </w:t>
      </w:r>
      <w:r w:rsidR="00466AA9">
        <w:t>Audio/Visual</w:t>
      </w:r>
      <w:r w:rsidR="00E2719D">
        <w:t xml:space="preserve"> </w:t>
      </w:r>
      <w:r w:rsidR="0000590B">
        <w:t xml:space="preserve">equipment </w:t>
      </w:r>
      <w:r w:rsidR="00466AA9">
        <w:t xml:space="preserve">RVTD is </w:t>
      </w:r>
      <w:r w:rsidR="00695E78">
        <w:t>soliciting</w:t>
      </w:r>
      <w:r w:rsidR="00466AA9">
        <w:t xml:space="preserve"> </w:t>
      </w:r>
      <w:r w:rsidR="00695E78">
        <w:t>quotes</w:t>
      </w:r>
      <w:r w:rsidR="00466AA9">
        <w:t xml:space="preserve"> for </w:t>
      </w:r>
      <w:r w:rsidR="0000590B">
        <w:t xml:space="preserve">is </w:t>
      </w:r>
      <w:r w:rsidR="001A6B90">
        <w:t xml:space="preserve">included in </w:t>
      </w:r>
      <w:r w:rsidR="00A05F0D">
        <w:t>‘</w:t>
      </w:r>
      <w:r w:rsidR="001A6B90" w:rsidRPr="00D728DD">
        <w:rPr>
          <w:b/>
          <w:bCs/>
        </w:rPr>
        <w:t xml:space="preserve">Section </w:t>
      </w:r>
      <w:r w:rsidR="00051F34" w:rsidRPr="00D728DD">
        <w:rPr>
          <w:b/>
          <w:bCs/>
        </w:rPr>
        <w:t>B</w:t>
      </w:r>
      <w:r w:rsidR="00F82388" w:rsidRPr="00D728DD">
        <w:rPr>
          <w:b/>
          <w:bCs/>
        </w:rPr>
        <w:t xml:space="preserve"> </w:t>
      </w:r>
      <w:r w:rsidR="00A05F0D" w:rsidRPr="00D728DD">
        <w:rPr>
          <w:b/>
          <w:bCs/>
        </w:rPr>
        <w:t xml:space="preserve">- </w:t>
      </w:r>
      <w:r w:rsidR="0008634B" w:rsidRPr="00D728DD">
        <w:rPr>
          <w:b/>
          <w:bCs/>
        </w:rPr>
        <w:t>Equipment List</w:t>
      </w:r>
      <w:r w:rsidR="0008634B">
        <w:t>”</w:t>
      </w:r>
      <w:r w:rsidR="00E2719D">
        <w:t xml:space="preserve"> </w:t>
      </w:r>
      <w:r w:rsidR="006A682D">
        <w:t>on page 8</w:t>
      </w:r>
      <w:r w:rsidR="00E2719D">
        <w:t>.</w:t>
      </w:r>
    </w:p>
    <w:p w14:paraId="44D79C52" w14:textId="0ABF609B" w:rsidR="008650C5" w:rsidRDefault="008650C5">
      <w:r>
        <w:br w:type="page"/>
      </w:r>
    </w:p>
    <w:p w14:paraId="0509560E" w14:textId="5548AA03" w:rsidR="00F50725" w:rsidRDefault="00497AFF" w:rsidP="0076699A">
      <w:pPr>
        <w:pStyle w:val="AttH-1H"/>
        <w:ind w:left="1350" w:hanging="540"/>
        <w:rPr>
          <w:sz w:val="40"/>
          <w:szCs w:val="40"/>
        </w:rPr>
      </w:pPr>
      <w:r>
        <w:rPr>
          <w:sz w:val="40"/>
          <w:szCs w:val="40"/>
        </w:rPr>
        <w:lastRenderedPageBreak/>
        <w:t xml:space="preserve">AV </w:t>
      </w:r>
      <w:r w:rsidR="000D322A">
        <w:rPr>
          <w:sz w:val="40"/>
          <w:szCs w:val="40"/>
        </w:rPr>
        <w:t>System Description</w:t>
      </w:r>
    </w:p>
    <w:p w14:paraId="5B18C3E8" w14:textId="4A50207A" w:rsidR="000D322A" w:rsidRDefault="00264496" w:rsidP="000D322A">
      <w:pPr>
        <w:pStyle w:val="AttH-1H"/>
        <w:numPr>
          <w:ilvl w:val="0"/>
          <w:numId w:val="0"/>
        </w:numPr>
        <w:ind w:left="1800"/>
      </w:pPr>
      <w:r w:rsidRPr="00264496">
        <w:t>The Community Meeting Room will showcase dual 98” UHD display</w:t>
      </w:r>
      <w:r>
        <w:t>s</w:t>
      </w:r>
      <w:r w:rsidRPr="00264496">
        <w:t xml:space="preserve"> that will be mounted on the front wall and a 75” UHD </w:t>
      </w:r>
      <w:r w:rsidR="00FF4640">
        <w:t xml:space="preserve">display </w:t>
      </w:r>
      <w:r w:rsidRPr="00264496">
        <w:t>on the back wall using UL listed fixed</w:t>
      </w:r>
      <w:r w:rsidR="00FF4640">
        <w:t>-</w:t>
      </w:r>
      <w:r w:rsidRPr="00264496">
        <w:t>display mounts. The displays will provide meeting participants video content for virtual meetings or presentation</w:t>
      </w:r>
      <w:r>
        <w:t>s</w:t>
      </w:r>
      <w:r w:rsidRPr="00264496">
        <w:t>. Two 55” confidence monitors will be mounted on confidence monitor carts</w:t>
      </w:r>
      <w:r w:rsidR="00BE61C6">
        <w:t xml:space="preserve"> to </w:t>
      </w:r>
      <w:r w:rsidRPr="00264496">
        <w:t xml:space="preserve">provide video content for the board members. The </w:t>
      </w:r>
      <w:r w:rsidR="00BE61C6">
        <w:t xml:space="preserve">55” </w:t>
      </w:r>
      <w:r w:rsidRPr="00264496">
        <w:t xml:space="preserve">confidence monitors can be removed from the room if they are not needed for </w:t>
      </w:r>
      <w:r w:rsidR="00BE61C6">
        <w:t>a</w:t>
      </w:r>
      <w:r w:rsidRPr="00264496">
        <w:t xml:space="preserve"> meeting.</w:t>
      </w:r>
    </w:p>
    <w:p w14:paraId="150878F7" w14:textId="5B9C1081" w:rsidR="00264496" w:rsidRDefault="00FF4640" w:rsidP="000D322A">
      <w:pPr>
        <w:pStyle w:val="AttH-1H"/>
        <w:numPr>
          <w:ilvl w:val="0"/>
          <w:numId w:val="0"/>
        </w:numPr>
        <w:ind w:left="1800"/>
      </w:pPr>
      <w:r w:rsidRPr="00FF4640">
        <w:t>The video conferencing system will feature a Zoom Room dedicated computer, table mounted Logitech 10” touch panel</w:t>
      </w:r>
      <w:r w:rsidR="00BE61C6">
        <w:t xml:space="preserve"> (or </w:t>
      </w:r>
      <w:r w:rsidR="00263479">
        <w:t>equivalent)</w:t>
      </w:r>
      <w:r w:rsidRPr="00FF4640">
        <w:t>, wall mounted 10” touch panel and three Aver CAM550 enterprise grade dual lens pan, tilt, zoom (PTZ) cameras</w:t>
      </w:r>
      <w:r w:rsidR="00263479">
        <w:t xml:space="preserve"> (or equivalent)</w:t>
      </w:r>
      <w:r w:rsidRPr="00FF4640">
        <w:t xml:space="preserve">. One PTZ camera will be mounted between the dual 98” displays and the other two will be mounted above the 75” display. The </w:t>
      </w:r>
      <w:r w:rsidR="00263479">
        <w:t>“</w:t>
      </w:r>
      <w:r w:rsidRPr="00FF4640">
        <w:t>Zoom Room</w:t>
      </w:r>
      <w:r w:rsidR="00263479">
        <w:t>”</w:t>
      </w:r>
      <w:r w:rsidRPr="00FF4640">
        <w:t xml:space="preserve"> dedicated computer and touch panels will be configured to native </w:t>
      </w:r>
      <w:r w:rsidR="00263479">
        <w:t>“</w:t>
      </w:r>
      <w:r w:rsidRPr="00FF4640">
        <w:t>Zoom Room</w:t>
      </w:r>
      <w:r w:rsidR="00263479">
        <w:t>”</w:t>
      </w:r>
      <w:r w:rsidRPr="00FF4640">
        <w:t xml:space="preserve"> mode. </w:t>
      </w:r>
    </w:p>
    <w:p w14:paraId="5B32AF33" w14:textId="201D1557" w:rsidR="00FF4640" w:rsidRDefault="005E21A1" w:rsidP="000D322A">
      <w:pPr>
        <w:pStyle w:val="AttH-1H"/>
        <w:numPr>
          <w:ilvl w:val="0"/>
          <w:numId w:val="0"/>
        </w:numPr>
        <w:ind w:left="1800"/>
      </w:pPr>
      <w:r>
        <w:t>The audio system will feature twelve wireless desktop gooseneck microphones</w:t>
      </w:r>
      <w:r w:rsidRPr="00B861E5">
        <w:t xml:space="preserve"> </w:t>
      </w:r>
      <w:r>
        <w:t>and sixteen pendant ceiling speakers</w:t>
      </w:r>
      <w:r w:rsidRPr="00B861E5">
        <w:t xml:space="preserve">. </w:t>
      </w:r>
      <w:r>
        <w:t>The twelve wireless desktop gooseneck microphones</w:t>
      </w:r>
      <w:r w:rsidRPr="00B861E5">
        <w:t xml:space="preserve"> </w:t>
      </w:r>
      <w:r>
        <w:t>will provide in-room voice lift and audio pick-up for virtual meetings. The wireless desktop gooseneck microphones</w:t>
      </w:r>
      <w:r w:rsidRPr="00B861E5">
        <w:t xml:space="preserve"> </w:t>
      </w:r>
      <w:r>
        <w:t>will have a button to allow users to mute and unmute the microphones. The sixteen pendant ceiling speakers will provide a total room coverage for program and virtual meeting audio sources. The microphones, virtual meeting and program audio will be mixed and routed by an audio digital signal processor. An additional feature of the audio system is a</w:t>
      </w:r>
      <w:r w:rsidR="001A72AB">
        <w:t>n</w:t>
      </w:r>
      <w:r>
        <w:t xml:space="preserve"> RF assisted listening system. This system will provide four body packs and listening devices for meeting participants </w:t>
      </w:r>
      <w:r w:rsidR="001A72AB">
        <w:t xml:space="preserve">who need assistance with </w:t>
      </w:r>
      <w:r>
        <w:t>hearing.</w:t>
      </w:r>
    </w:p>
    <w:p w14:paraId="67D7E508" w14:textId="69AC26AC" w:rsidR="005E21A1" w:rsidRDefault="004C1944" w:rsidP="000D322A">
      <w:pPr>
        <w:pStyle w:val="AttH-1H"/>
        <w:numPr>
          <w:ilvl w:val="0"/>
          <w:numId w:val="0"/>
        </w:numPr>
        <w:ind w:left="1800"/>
      </w:pPr>
      <w:r w:rsidRPr="004C1944">
        <w:t>Users</w:t>
      </w:r>
      <w:r w:rsidR="001A72AB">
        <w:t>/Participants</w:t>
      </w:r>
      <w:r w:rsidRPr="004C1944">
        <w:t xml:space="preserve"> will have three options to present content to a virtual meeting </w:t>
      </w:r>
      <w:r w:rsidR="00695E78">
        <w:t xml:space="preserve">audience </w:t>
      </w:r>
      <w:r w:rsidRPr="004C1944">
        <w:t xml:space="preserve">and/or the displays. The first option is an HDMI cable located at the lectern. The second is an HDMI cable at the </w:t>
      </w:r>
      <w:r w:rsidR="00695E78">
        <w:t>B</w:t>
      </w:r>
      <w:r w:rsidRPr="004C1944">
        <w:t xml:space="preserve">oard </w:t>
      </w:r>
      <w:r w:rsidR="00695E78">
        <w:t>M</w:t>
      </w:r>
      <w:r w:rsidRPr="004C1944">
        <w:t xml:space="preserve">ember’s table. The third option is for user to present content wirelessly to the </w:t>
      </w:r>
      <w:r w:rsidR="00695E78">
        <w:t>“</w:t>
      </w:r>
      <w:r w:rsidRPr="004C1944">
        <w:t>Zoom Room</w:t>
      </w:r>
      <w:r w:rsidR="00695E78">
        <w:t>”</w:t>
      </w:r>
      <w:r w:rsidRPr="004C1944">
        <w:t xml:space="preserve"> using the Zoom application on their personal device.</w:t>
      </w:r>
    </w:p>
    <w:p w14:paraId="51FFC111" w14:textId="6078B817" w:rsidR="004C1944" w:rsidRDefault="00E4654F" w:rsidP="000D322A">
      <w:pPr>
        <w:pStyle w:val="AttH-1H"/>
        <w:numPr>
          <w:ilvl w:val="0"/>
          <w:numId w:val="0"/>
        </w:numPr>
        <w:ind w:left="1800"/>
      </w:pPr>
      <w:r w:rsidRPr="00E4654F">
        <w:t xml:space="preserve">The video switching and transport will utilize an AV over IP technology to route video using an AV network. AV over IP technology utilizes ultra-low latency, standards-based encoding, and decoding architecture to switch and transport audiovisual signals over an IP network. A dedicated managed network switch will be </w:t>
      </w:r>
      <w:r w:rsidR="00695E78">
        <w:t>used</w:t>
      </w:r>
      <w:r w:rsidRPr="00E4654F">
        <w:t xml:space="preserve"> to route signal between the encoders and decoders.</w:t>
      </w:r>
    </w:p>
    <w:p w14:paraId="77B74F5C" w14:textId="3E4FB865" w:rsidR="00D82EAC" w:rsidRDefault="00D82EAC" w:rsidP="00D82EAC">
      <w:pPr>
        <w:pStyle w:val="AttH-1H"/>
        <w:numPr>
          <w:ilvl w:val="0"/>
          <w:numId w:val="0"/>
        </w:numPr>
        <w:ind w:left="1800"/>
      </w:pPr>
      <w:r>
        <w:t>An Extron AV processor</w:t>
      </w:r>
      <w:r w:rsidR="00695E78">
        <w:t xml:space="preserve"> (or equivalent)</w:t>
      </w:r>
      <w:r>
        <w:t xml:space="preserve"> will be provided to allow users to flip to a room control page from the native Zoom GUI. This will allow users to perform the following additional AV System controls</w:t>
      </w:r>
      <w:r w:rsidR="00C950AC">
        <w:t>:</w:t>
      </w:r>
    </w:p>
    <w:p w14:paraId="4E6C70C9" w14:textId="77777777" w:rsidR="00D82EAC" w:rsidRDefault="00D82EAC" w:rsidP="002546BA">
      <w:pPr>
        <w:pStyle w:val="NoSpacing"/>
        <w:ind w:left="1800"/>
      </w:pPr>
      <w:r>
        <w:lastRenderedPageBreak/>
        <w:t>•</w:t>
      </w:r>
      <w:r>
        <w:tab/>
        <w:t>Meeting type default presets</w:t>
      </w:r>
    </w:p>
    <w:p w14:paraId="312FAC4E" w14:textId="77777777" w:rsidR="00D82EAC" w:rsidRDefault="00D82EAC" w:rsidP="002546BA">
      <w:pPr>
        <w:pStyle w:val="NoSpacing"/>
        <w:ind w:left="1800"/>
      </w:pPr>
      <w:r>
        <w:t>•</w:t>
      </w:r>
      <w:r>
        <w:tab/>
        <w:t>Route any video signal to any display</w:t>
      </w:r>
    </w:p>
    <w:p w14:paraId="0CF20BA6" w14:textId="77777777" w:rsidR="00D82EAC" w:rsidRDefault="00D82EAC" w:rsidP="002546BA">
      <w:pPr>
        <w:pStyle w:val="NoSpacing"/>
        <w:ind w:left="1800"/>
      </w:pPr>
      <w:r>
        <w:t>•</w:t>
      </w:r>
      <w:r>
        <w:tab/>
        <w:t>Route any program audio signal to the ceiling speakers</w:t>
      </w:r>
    </w:p>
    <w:p w14:paraId="3CB59494" w14:textId="6577F954" w:rsidR="00D82EAC" w:rsidRPr="00695E78" w:rsidRDefault="00D82EAC" w:rsidP="00695E78">
      <w:pPr>
        <w:pStyle w:val="NoSpacing"/>
        <w:ind w:left="2880"/>
        <w:rPr>
          <w:i/>
          <w:iCs/>
        </w:rPr>
      </w:pPr>
      <w:r w:rsidRPr="00695E78">
        <w:rPr>
          <w:i/>
          <w:iCs/>
        </w:rPr>
        <w:t>Note - virtual meeting audio and wireless desktop gooseneck microphones will always be routed to the ceiling speakers.</w:t>
      </w:r>
    </w:p>
    <w:p w14:paraId="1D11D13A" w14:textId="77777777" w:rsidR="00D82EAC" w:rsidRDefault="00D82EAC" w:rsidP="002546BA">
      <w:pPr>
        <w:pStyle w:val="NoSpacing"/>
        <w:ind w:left="1800"/>
      </w:pPr>
      <w:r>
        <w:t>•</w:t>
      </w:r>
      <w:r>
        <w:tab/>
        <w:t>Adjust the volume of the wireless desktop gooseneck microphones</w:t>
      </w:r>
    </w:p>
    <w:p w14:paraId="3076B7CB" w14:textId="77777777" w:rsidR="007370CD" w:rsidRDefault="00D82EAC" w:rsidP="002546BA">
      <w:pPr>
        <w:pStyle w:val="NoSpacing"/>
        <w:ind w:left="1800"/>
      </w:pPr>
      <w:r>
        <w:t>•</w:t>
      </w:r>
      <w:r>
        <w:tab/>
        <w:t>Mute and unmute the wireless desktop gooseneck microphones</w:t>
      </w:r>
    </w:p>
    <w:p w14:paraId="7D624C33" w14:textId="77777777" w:rsidR="002546BA" w:rsidRDefault="002546BA" w:rsidP="002546BA">
      <w:pPr>
        <w:pStyle w:val="NoSpacing"/>
        <w:ind w:left="1800"/>
      </w:pPr>
    </w:p>
    <w:p w14:paraId="2D093CD0" w14:textId="2041F97D" w:rsidR="00E4654F" w:rsidRDefault="00D82EAC" w:rsidP="00D82EAC">
      <w:pPr>
        <w:pStyle w:val="AttH-1H"/>
        <w:numPr>
          <w:ilvl w:val="0"/>
          <w:numId w:val="0"/>
        </w:numPr>
        <w:ind w:left="1800"/>
      </w:pPr>
      <w:r>
        <w:t>The main AV equipment will be mounted in a slide out AV equipment rack mounted in a credenza.</w:t>
      </w:r>
    </w:p>
    <w:p w14:paraId="49179F95" w14:textId="1F8DA1C8" w:rsidR="008650C5" w:rsidRDefault="008650C5">
      <w:r>
        <w:br w:type="page"/>
      </w:r>
    </w:p>
    <w:p w14:paraId="61AE6554" w14:textId="163AE1F5" w:rsidR="00F50725" w:rsidRDefault="002546BA" w:rsidP="0076699A">
      <w:pPr>
        <w:pStyle w:val="AttH-1H"/>
        <w:ind w:left="1350" w:hanging="540"/>
        <w:rPr>
          <w:sz w:val="40"/>
          <w:szCs w:val="40"/>
        </w:rPr>
      </w:pPr>
      <w:r>
        <w:rPr>
          <w:sz w:val="40"/>
          <w:szCs w:val="40"/>
        </w:rPr>
        <w:lastRenderedPageBreak/>
        <w:t>Scope of Work</w:t>
      </w:r>
    </w:p>
    <w:p w14:paraId="463F7AD4" w14:textId="5949B61C" w:rsidR="00D36B12" w:rsidRPr="00973371" w:rsidRDefault="00D36B12" w:rsidP="00D36B12">
      <w:pPr>
        <w:pStyle w:val="AttH-1H"/>
        <w:numPr>
          <w:ilvl w:val="0"/>
          <w:numId w:val="0"/>
        </w:numPr>
        <w:ind w:left="630" w:firstLine="720"/>
      </w:pPr>
      <w:r>
        <w:t xml:space="preserve">All items listed </w:t>
      </w:r>
      <w:r w:rsidR="00295B86">
        <w:t xml:space="preserve">in the table </w:t>
      </w:r>
      <w:r>
        <w:t>below are the r</w:t>
      </w:r>
      <w:r w:rsidRPr="001E00FE">
        <w:t xml:space="preserve">esponsibility of </w:t>
      </w:r>
      <w:r>
        <w:t>selected vendor:</w:t>
      </w:r>
    </w:p>
    <w:tbl>
      <w:tblPr>
        <w:tblStyle w:val="TableGrid"/>
        <w:tblW w:w="0" w:type="auto"/>
        <w:tblInd w:w="1350" w:type="dxa"/>
        <w:tblLook w:val="04A0" w:firstRow="1" w:lastRow="0" w:firstColumn="1" w:lastColumn="0" w:noHBand="0" w:noVBand="1"/>
      </w:tblPr>
      <w:tblGrid>
        <w:gridCol w:w="2695"/>
        <w:gridCol w:w="5305"/>
      </w:tblGrid>
      <w:tr w:rsidR="00D36B12" w14:paraId="7D6D9570" w14:textId="77777777" w:rsidTr="0064377A">
        <w:tc>
          <w:tcPr>
            <w:tcW w:w="2695" w:type="dxa"/>
          </w:tcPr>
          <w:p w14:paraId="0C580191" w14:textId="77777777" w:rsidR="00D36B12" w:rsidRDefault="00D36B12" w:rsidP="0064377A">
            <w:pPr>
              <w:pStyle w:val="AttH-1H"/>
              <w:numPr>
                <w:ilvl w:val="0"/>
                <w:numId w:val="0"/>
              </w:numPr>
            </w:pPr>
            <w:r>
              <w:t>Installation</w:t>
            </w:r>
          </w:p>
        </w:tc>
        <w:tc>
          <w:tcPr>
            <w:tcW w:w="5305" w:type="dxa"/>
          </w:tcPr>
          <w:p w14:paraId="2740D665" w14:textId="77777777" w:rsidR="00D36B12" w:rsidRDefault="00D36B12" w:rsidP="0064377A">
            <w:pPr>
              <w:pStyle w:val="AttH-1H"/>
              <w:numPr>
                <w:ilvl w:val="0"/>
                <w:numId w:val="0"/>
              </w:numPr>
            </w:pPr>
            <w:r w:rsidRPr="00BA5125">
              <w:t xml:space="preserve">Provide a complete installation of the AV equipment provided by </w:t>
            </w:r>
            <w:r>
              <w:t>RVTD</w:t>
            </w:r>
            <w:r w:rsidRPr="00BA5125">
              <w:t xml:space="preserve"> and in the bill of materials.</w:t>
            </w:r>
          </w:p>
        </w:tc>
      </w:tr>
      <w:tr w:rsidR="00D36B12" w14:paraId="4097EBD5" w14:textId="77777777" w:rsidTr="0064377A">
        <w:tc>
          <w:tcPr>
            <w:tcW w:w="2695" w:type="dxa"/>
          </w:tcPr>
          <w:p w14:paraId="700AE517" w14:textId="77777777" w:rsidR="00D36B12" w:rsidRDefault="00D36B12" w:rsidP="0064377A">
            <w:pPr>
              <w:pStyle w:val="AttH-1H"/>
              <w:numPr>
                <w:ilvl w:val="0"/>
                <w:numId w:val="0"/>
              </w:numPr>
            </w:pPr>
            <w:r>
              <w:t>Project Management</w:t>
            </w:r>
          </w:p>
        </w:tc>
        <w:tc>
          <w:tcPr>
            <w:tcW w:w="5305" w:type="dxa"/>
          </w:tcPr>
          <w:p w14:paraId="6D03A9D9" w14:textId="3D1BDDBA" w:rsidR="00D36B12" w:rsidRPr="00BA5125" w:rsidRDefault="00D36B12" w:rsidP="0064377A">
            <w:pPr>
              <w:pStyle w:val="AttH-1H"/>
              <w:numPr>
                <w:ilvl w:val="0"/>
                <w:numId w:val="0"/>
              </w:numPr>
            </w:pPr>
            <w:r w:rsidRPr="00C10DE2">
              <w:t xml:space="preserve">Provide an audiovisual project manager for the duration of the project to coordinate audiovisual work with the </w:t>
            </w:r>
            <w:r>
              <w:t xml:space="preserve">RVTD, General Contractor </w:t>
            </w:r>
            <w:r w:rsidRPr="00C10DE2">
              <w:t>and other trades.</w:t>
            </w:r>
            <w:r w:rsidR="000B7A9B">
              <w:t xml:space="preserve"> </w:t>
            </w:r>
            <w:r w:rsidR="00953E57">
              <w:t xml:space="preserve">Project manager will </w:t>
            </w:r>
            <w:r w:rsidR="00213962">
              <w:t>coordinate and verify</w:t>
            </w:r>
            <w:r w:rsidR="00953E57">
              <w:t xml:space="preserve"> with General Contractor </w:t>
            </w:r>
            <w:r w:rsidR="00953E57" w:rsidRPr="00C10DE2">
              <w:t>and other trades</w:t>
            </w:r>
            <w:r w:rsidR="00953E57">
              <w:t xml:space="preserve"> that </w:t>
            </w:r>
            <w:r w:rsidR="00213962">
              <w:t>r</w:t>
            </w:r>
            <w:r w:rsidR="00B5537E">
              <w:t>ough</w:t>
            </w:r>
            <w:r w:rsidR="00213962">
              <w:t>-in work is acceptable and complete prior to onsite installation.</w:t>
            </w:r>
          </w:p>
        </w:tc>
      </w:tr>
      <w:tr w:rsidR="00D36B12" w14:paraId="56D4C488" w14:textId="77777777" w:rsidTr="0064377A">
        <w:tc>
          <w:tcPr>
            <w:tcW w:w="2695" w:type="dxa"/>
          </w:tcPr>
          <w:p w14:paraId="1F3F29EA" w14:textId="77777777" w:rsidR="00D36B12" w:rsidRDefault="00D36B12" w:rsidP="0064377A">
            <w:pPr>
              <w:pStyle w:val="AttH-1H"/>
              <w:numPr>
                <w:ilvl w:val="0"/>
                <w:numId w:val="0"/>
              </w:numPr>
            </w:pPr>
            <w:r>
              <w:t>Engineer</w:t>
            </w:r>
          </w:p>
        </w:tc>
        <w:tc>
          <w:tcPr>
            <w:tcW w:w="5305" w:type="dxa"/>
          </w:tcPr>
          <w:p w14:paraId="5537C030" w14:textId="0EFB6D09" w:rsidR="00D36B12" w:rsidRPr="00BA5125" w:rsidRDefault="00D36B12" w:rsidP="0064377A">
            <w:pPr>
              <w:pStyle w:val="AttH-1H"/>
              <w:numPr>
                <w:ilvl w:val="0"/>
                <w:numId w:val="0"/>
              </w:numPr>
            </w:pPr>
            <w:r w:rsidRPr="009A5A2E">
              <w:t>Provide an audiovisual industry certified engineer</w:t>
            </w:r>
            <w:r w:rsidR="0077364F">
              <w:t xml:space="preserve"> for system commissioning</w:t>
            </w:r>
            <w:r w:rsidRPr="009A5A2E">
              <w:t>.</w:t>
            </w:r>
          </w:p>
        </w:tc>
      </w:tr>
      <w:tr w:rsidR="00D36B12" w14:paraId="7DD579BC" w14:textId="77777777" w:rsidTr="0064377A">
        <w:tc>
          <w:tcPr>
            <w:tcW w:w="2695" w:type="dxa"/>
          </w:tcPr>
          <w:p w14:paraId="3B84801B" w14:textId="77777777" w:rsidR="00D36B12" w:rsidRDefault="00D36B12" w:rsidP="0064377A">
            <w:pPr>
              <w:pStyle w:val="AttH-1H"/>
              <w:numPr>
                <w:ilvl w:val="0"/>
                <w:numId w:val="0"/>
              </w:numPr>
            </w:pPr>
            <w:r w:rsidRPr="009A5A2E">
              <w:t>Shipping</w:t>
            </w:r>
          </w:p>
        </w:tc>
        <w:tc>
          <w:tcPr>
            <w:tcW w:w="5305" w:type="dxa"/>
          </w:tcPr>
          <w:p w14:paraId="65335875" w14:textId="62A3F048" w:rsidR="00D36B12" w:rsidRPr="00BA5125" w:rsidRDefault="00D36B12" w:rsidP="0064377A">
            <w:pPr>
              <w:pStyle w:val="AttH-1H"/>
              <w:numPr>
                <w:ilvl w:val="0"/>
                <w:numId w:val="0"/>
              </w:numPr>
            </w:pPr>
            <w:r w:rsidRPr="009A5A2E">
              <w:rPr>
                <w:color w:val="000000"/>
              </w:rPr>
              <w:t>Coordinate materials delivery.</w:t>
            </w:r>
            <w:r w:rsidR="00F01FC5">
              <w:rPr>
                <w:color w:val="000000"/>
              </w:rPr>
              <w:t xml:space="preserve"> Vendor has the option to ship and warehouse equipment at RVTD</w:t>
            </w:r>
            <w:r w:rsidR="00D578F2">
              <w:rPr>
                <w:color w:val="000000"/>
              </w:rPr>
              <w:t>’s location</w:t>
            </w:r>
            <w:r w:rsidR="00F01FC5">
              <w:rPr>
                <w:color w:val="000000"/>
              </w:rPr>
              <w:t xml:space="preserve"> until time of </w:t>
            </w:r>
            <w:r w:rsidR="00B251B3">
              <w:rPr>
                <w:color w:val="000000"/>
              </w:rPr>
              <w:t>installation.</w:t>
            </w:r>
          </w:p>
        </w:tc>
      </w:tr>
      <w:tr w:rsidR="00D36B12" w14:paraId="765EE426" w14:textId="77777777" w:rsidTr="0064377A">
        <w:tc>
          <w:tcPr>
            <w:tcW w:w="2695" w:type="dxa"/>
          </w:tcPr>
          <w:p w14:paraId="01AC1D75" w14:textId="77777777" w:rsidR="00D36B12" w:rsidRPr="009A5A2E" w:rsidRDefault="00D36B12" w:rsidP="0064377A">
            <w:pPr>
              <w:pStyle w:val="AttH-1H"/>
              <w:numPr>
                <w:ilvl w:val="0"/>
                <w:numId w:val="0"/>
              </w:numPr>
            </w:pPr>
            <w:r w:rsidRPr="009A5A2E">
              <w:t>Low Voltage Cable Pulls</w:t>
            </w:r>
          </w:p>
        </w:tc>
        <w:tc>
          <w:tcPr>
            <w:tcW w:w="5305" w:type="dxa"/>
          </w:tcPr>
          <w:p w14:paraId="42F2C43B" w14:textId="4D37527A" w:rsidR="00D36B12" w:rsidRPr="009A5A2E" w:rsidRDefault="00D36B12" w:rsidP="0064377A">
            <w:pPr>
              <w:pStyle w:val="AttH-1H"/>
              <w:numPr>
                <w:ilvl w:val="0"/>
                <w:numId w:val="0"/>
              </w:numPr>
              <w:rPr>
                <w:color w:val="000000"/>
              </w:rPr>
            </w:pPr>
            <w:r w:rsidRPr="00784814">
              <w:t>Furnish, Install, Label, Terminate and Test all AV low voltage cable that are run through floors, walls, ceilings, riser spaces, etc.</w:t>
            </w:r>
            <w:r w:rsidR="008C1DB4">
              <w:t xml:space="preserve"> Contractor will provide r</w:t>
            </w:r>
            <w:r w:rsidR="00B5537E">
              <w:t>ough</w:t>
            </w:r>
            <w:r w:rsidR="008C1DB4">
              <w:t xml:space="preserve">-in based on </w:t>
            </w:r>
            <w:r w:rsidR="002B272A" w:rsidRPr="002B272A">
              <w:t>AV Infrastructure drawings</w:t>
            </w:r>
            <w:r w:rsidR="002B272A">
              <w:t xml:space="preserve"> (</w:t>
            </w:r>
            <w:r w:rsidR="002B272A" w:rsidRPr="00D728DD">
              <w:rPr>
                <w:b/>
                <w:bCs/>
              </w:rPr>
              <w:t>Attachment A</w:t>
            </w:r>
            <w:r w:rsidR="002B272A">
              <w:t>).</w:t>
            </w:r>
          </w:p>
        </w:tc>
      </w:tr>
      <w:tr w:rsidR="00D36B12" w14:paraId="16D66F1B" w14:textId="77777777" w:rsidTr="0064377A">
        <w:tc>
          <w:tcPr>
            <w:tcW w:w="2695" w:type="dxa"/>
          </w:tcPr>
          <w:p w14:paraId="3163790C" w14:textId="77777777" w:rsidR="00D36B12" w:rsidRDefault="00D36B12" w:rsidP="0064377A">
            <w:pPr>
              <w:pStyle w:val="AttH-1H"/>
              <w:numPr>
                <w:ilvl w:val="0"/>
                <w:numId w:val="0"/>
              </w:numPr>
            </w:pPr>
            <w:r>
              <w:t>Site Cleaning</w:t>
            </w:r>
          </w:p>
        </w:tc>
        <w:tc>
          <w:tcPr>
            <w:tcW w:w="5305" w:type="dxa"/>
          </w:tcPr>
          <w:p w14:paraId="502782EC" w14:textId="77777777" w:rsidR="00D36B12" w:rsidRPr="00BA5125" w:rsidRDefault="00D36B12" w:rsidP="0064377A">
            <w:pPr>
              <w:pStyle w:val="AttH-1H"/>
              <w:numPr>
                <w:ilvl w:val="0"/>
                <w:numId w:val="0"/>
              </w:numPr>
            </w:pPr>
            <w:r w:rsidRPr="009A5A2E">
              <w:t>Clean any dust, debris and rubbish created by audiovisual installation</w:t>
            </w:r>
          </w:p>
        </w:tc>
      </w:tr>
      <w:tr w:rsidR="00D36B12" w14:paraId="646AF4C7" w14:textId="77777777" w:rsidTr="0064377A">
        <w:tc>
          <w:tcPr>
            <w:tcW w:w="2695" w:type="dxa"/>
          </w:tcPr>
          <w:p w14:paraId="3B710A58" w14:textId="77777777" w:rsidR="00D36B12" w:rsidRDefault="00D36B12" w:rsidP="0064377A">
            <w:pPr>
              <w:pStyle w:val="AttH-1H"/>
              <w:numPr>
                <w:ilvl w:val="0"/>
                <w:numId w:val="0"/>
              </w:numPr>
            </w:pPr>
            <w:r>
              <w:t>Documentation</w:t>
            </w:r>
          </w:p>
        </w:tc>
        <w:tc>
          <w:tcPr>
            <w:tcW w:w="5305" w:type="dxa"/>
          </w:tcPr>
          <w:p w14:paraId="7AA699E6" w14:textId="77777777" w:rsidR="00D36B12" w:rsidRPr="00BA5125" w:rsidRDefault="00D36B12" w:rsidP="0064377A">
            <w:pPr>
              <w:pStyle w:val="AttH-1H"/>
              <w:numPr>
                <w:ilvl w:val="0"/>
                <w:numId w:val="0"/>
              </w:numPr>
            </w:pPr>
            <w:r w:rsidRPr="007E651A">
              <w:rPr>
                <w:color w:val="000000"/>
              </w:rPr>
              <w:t xml:space="preserve">Provide engineered technical drawing(s) </w:t>
            </w:r>
            <w:r>
              <w:rPr>
                <w:color w:val="000000"/>
              </w:rPr>
              <w:t xml:space="preserve">including, but not limited to: </w:t>
            </w:r>
            <w:r w:rsidRPr="007E651A">
              <w:t>AV devices on an architecture floor plan</w:t>
            </w:r>
            <w:r>
              <w:t xml:space="preserve">; </w:t>
            </w:r>
            <w:r w:rsidRPr="007E651A">
              <w:rPr>
                <w:color w:val="000000"/>
              </w:rPr>
              <w:t>AV devices on an architecture ceiling plan</w:t>
            </w:r>
            <w:r>
              <w:rPr>
                <w:color w:val="000000"/>
              </w:rPr>
              <w:t xml:space="preserve">; </w:t>
            </w:r>
            <w:r w:rsidRPr="007E651A">
              <w:rPr>
                <w:color w:val="000000"/>
              </w:rPr>
              <w:t>location of all devices on the wall(s)</w:t>
            </w:r>
            <w:r>
              <w:rPr>
                <w:color w:val="000000"/>
              </w:rPr>
              <w:t xml:space="preserve">; </w:t>
            </w:r>
            <w:r w:rsidRPr="007E651A">
              <w:t>schematic design of the system including device connections, signal types, and equipment parts, etc.</w:t>
            </w:r>
            <w:r>
              <w:t xml:space="preserve">; </w:t>
            </w:r>
            <w:r w:rsidRPr="007E651A">
              <w:rPr>
                <w:color w:val="000000"/>
              </w:rPr>
              <w:t>layout of any equipment racks, cabinets, lecterns, etc.</w:t>
            </w:r>
          </w:p>
        </w:tc>
      </w:tr>
      <w:tr w:rsidR="00D36B12" w14:paraId="5904348B" w14:textId="77777777" w:rsidTr="0064377A">
        <w:tc>
          <w:tcPr>
            <w:tcW w:w="2695" w:type="dxa"/>
          </w:tcPr>
          <w:p w14:paraId="763D699B" w14:textId="77777777" w:rsidR="00D36B12" w:rsidRDefault="00D36B12" w:rsidP="0064377A">
            <w:pPr>
              <w:pStyle w:val="AttH-1H"/>
              <w:numPr>
                <w:ilvl w:val="0"/>
                <w:numId w:val="0"/>
              </w:numPr>
            </w:pPr>
            <w:r w:rsidRPr="007E651A">
              <w:t>System Commissioning</w:t>
            </w:r>
          </w:p>
        </w:tc>
        <w:tc>
          <w:tcPr>
            <w:tcW w:w="5305" w:type="dxa"/>
          </w:tcPr>
          <w:p w14:paraId="2D094E0E" w14:textId="77777777" w:rsidR="00D36B12" w:rsidRPr="00BA5125" w:rsidRDefault="00D36B12" w:rsidP="0064377A">
            <w:pPr>
              <w:pStyle w:val="AttH-1H"/>
              <w:numPr>
                <w:ilvl w:val="0"/>
                <w:numId w:val="0"/>
              </w:numPr>
            </w:pPr>
            <w:r w:rsidRPr="007E651A">
              <w:rPr>
                <w:color w:val="000000"/>
              </w:rPr>
              <w:t xml:space="preserve">Configure and setup system for proper operation as coordinated with </w:t>
            </w:r>
            <w:r>
              <w:rPr>
                <w:color w:val="000000"/>
              </w:rPr>
              <w:t>RVTD</w:t>
            </w:r>
            <w:r w:rsidRPr="007E651A">
              <w:rPr>
                <w:color w:val="000000"/>
              </w:rPr>
              <w:t xml:space="preserve"> and/or specifications</w:t>
            </w:r>
          </w:p>
        </w:tc>
      </w:tr>
      <w:tr w:rsidR="00D36B12" w14:paraId="227D9914" w14:textId="77777777" w:rsidTr="0064377A">
        <w:tc>
          <w:tcPr>
            <w:tcW w:w="2695" w:type="dxa"/>
          </w:tcPr>
          <w:p w14:paraId="1160A0F3" w14:textId="77777777" w:rsidR="00D36B12" w:rsidRDefault="00D36B12" w:rsidP="0064377A">
            <w:pPr>
              <w:pStyle w:val="AttH-1H"/>
              <w:numPr>
                <w:ilvl w:val="0"/>
                <w:numId w:val="0"/>
              </w:numPr>
            </w:pPr>
            <w:r>
              <w:t>IP Schedule</w:t>
            </w:r>
          </w:p>
        </w:tc>
        <w:tc>
          <w:tcPr>
            <w:tcW w:w="5305" w:type="dxa"/>
          </w:tcPr>
          <w:p w14:paraId="430B45B2" w14:textId="77777777" w:rsidR="00D36B12" w:rsidRPr="00BA5125" w:rsidRDefault="00D36B12" w:rsidP="0064377A">
            <w:pPr>
              <w:pStyle w:val="AttH-1H"/>
              <w:numPr>
                <w:ilvl w:val="0"/>
                <w:numId w:val="0"/>
              </w:numPr>
            </w:pPr>
            <w:r w:rsidRPr="007E651A">
              <w:rPr>
                <w:color w:val="000000"/>
              </w:rPr>
              <w:t>Provide IP schedule with a list of fixed or static IP addresses for audiovisual equipment.</w:t>
            </w:r>
          </w:p>
        </w:tc>
      </w:tr>
      <w:tr w:rsidR="00D36B12" w14:paraId="51938D61" w14:textId="77777777" w:rsidTr="0064377A">
        <w:tc>
          <w:tcPr>
            <w:tcW w:w="2695" w:type="dxa"/>
          </w:tcPr>
          <w:p w14:paraId="47665ED2" w14:textId="77777777" w:rsidR="00D36B12" w:rsidRDefault="00D36B12" w:rsidP="0064377A">
            <w:pPr>
              <w:pStyle w:val="AttH-1H"/>
              <w:numPr>
                <w:ilvl w:val="0"/>
                <w:numId w:val="0"/>
              </w:numPr>
            </w:pPr>
            <w:r w:rsidRPr="007E651A">
              <w:t>Infrastructure requirement document</w:t>
            </w:r>
          </w:p>
        </w:tc>
        <w:tc>
          <w:tcPr>
            <w:tcW w:w="5305" w:type="dxa"/>
          </w:tcPr>
          <w:p w14:paraId="3D506DDD" w14:textId="77777777" w:rsidR="00D36B12" w:rsidRPr="00BA5125" w:rsidRDefault="00D36B12" w:rsidP="0064377A">
            <w:pPr>
              <w:pStyle w:val="AttH-1H"/>
              <w:numPr>
                <w:ilvl w:val="0"/>
                <w:numId w:val="0"/>
              </w:numPr>
            </w:pPr>
            <w:r w:rsidRPr="007E651A">
              <w:rPr>
                <w:color w:val="000000"/>
              </w:rPr>
              <w:t>Provide an infrastructure requirement document</w:t>
            </w:r>
          </w:p>
        </w:tc>
      </w:tr>
      <w:tr w:rsidR="00D36B12" w14:paraId="2FE86717" w14:textId="77777777" w:rsidTr="0064377A">
        <w:tc>
          <w:tcPr>
            <w:tcW w:w="2695" w:type="dxa"/>
          </w:tcPr>
          <w:p w14:paraId="24A390C4" w14:textId="77777777" w:rsidR="00D36B12" w:rsidRDefault="00D36B12" w:rsidP="0064377A">
            <w:pPr>
              <w:pStyle w:val="AttH-1H"/>
              <w:numPr>
                <w:ilvl w:val="0"/>
                <w:numId w:val="0"/>
              </w:numPr>
            </w:pPr>
            <w:r w:rsidRPr="007E651A">
              <w:t>Programming</w:t>
            </w:r>
          </w:p>
        </w:tc>
        <w:tc>
          <w:tcPr>
            <w:tcW w:w="5305" w:type="dxa"/>
          </w:tcPr>
          <w:p w14:paraId="31F57078" w14:textId="77777777" w:rsidR="00D36B12" w:rsidRPr="00BA5125" w:rsidRDefault="00D36B12" w:rsidP="0064377A">
            <w:pPr>
              <w:pStyle w:val="AttH-1H"/>
              <w:numPr>
                <w:ilvl w:val="0"/>
                <w:numId w:val="0"/>
              </w:numPr>
            </w:pPr>
            <w:r w:rsidRPr="007E651A">
              <w:rPr>
                <w:color w:val="000000"/>
              </w:rPr>
              <w:t>Develop and test any custom system programming for proper operation as coordinated with</w:t>
            </w:r>
            <w:r>
              <w:rPr>
                <w:color w:val="000000"/>
              </w:rPr>
              <w:t xml:space="preserve"> RVTD </w:t>
            </w:r>
            <w:r w:rsidRPr="007E651A">
              <w:rPr>
                <w:color w:val="000000"/>
              </w:rPr>
              <w:t>and/or specifications</w:t>
            </w:r>
          </w:p>
        </w:tc>
      </w:tr>
      <w:tr w:rsidR="00D36B12" w14:paraId="64B8ACA6" w14:textId="77777777" w:rsidTr="0064377A">
        <w:tc>
          <w:tcPr>
            <w:tcW w:w="2695" w:type="dxa"/>
          </w:tcPr>
          <w:p w14:paraId="01C79961" w14:textId="77777777" w:rsidR="00D36B12" w:rsidRDefault="00D36B12" w:rsidP="0064377A">
            <w:pPr>
              <w:pStyle w:val="AttH-1H"/>
              <w:numPr>
                <w:ilvl w:val="0"/>
                <w:numId w:val="0"/>
              </w:numPr>
            </w:pPr>
            <w:r w:rsidRPr="007E651A">
              <w:t>Programming preview documents</w:t>
            </w:r>
          </w:p>
        </w:tc>
        <w:tc>
          <w:tcPr>
            <w:tcW w:w="5305" w:type="dxa"/>
          </w:tcPr>
          <w:p w14:paraId="6153BE4E" w14:textId="77777777" w:rsidR="00D36B12" w:rsidRPr="00BA5125" w:rsidRDefault="00D36B12" w:rsidP="0064377A">
            <w:pPr>
              <w:pStyle w:val="AttH-1H"/>
              <w:numPr>
                <w:ilvl w:val="0"/>
                <w:numId w:val="0"/>
              </w:numPr>
            </w:pPr>
            <w:r w:rsidRPr="007E651A">
              <w:rPr>
                <w:color w:val="000000"/>
              </w:rPr>
              <w:t>Provide a preliminary layout of all remote-control devices (touch panels, remote controls, etc.), submitted electronically.</w:t>
            </w:r>
          </w:p>
        </w:tc>
      </w:tr>
      <w:tr w:rsidR="00D36B12" w14:paraId="133A3DF8" w14:textId="77777777" w:rsidTr="0064377A">
        <w:tc>
          <w:tcPr>
            <w:tcW w:w="2695" w:type="dxa"/>
          </w:tcPr>
          <w:p w14:paraId="1BC445E2" w14:textId="77777777" w:rsidR="00D36B12" w:rsidRDefault="00D36B12" w:rsidP="0064377A">
            <w:pPr>
              <w:pStyle w:val="AttH-1H"/>
              <w:numPr>
                <w:ilvl w:val="0"/>
                <w:numId w:val="0"/>
              </w:numPr>
            </w:pPr>
            <w:r w:rsidRPr="007E651A">
              <w:lastRenderedPageBreak/>
              <w:t>System Testing</w:t>
            </w:r>
          </w:p>
        </w:tc>
        <w:tc>
          <w:tcPr>
            <w:tcW w:w="5305" w:type="dxa"/>
          </w:tcPr>
          <w:p w14:paraId="53B99FF4" w14:textId="77777777" w:rsidR="00D36B12" w:rsidRPr="00BA5125" w:rsidRDefault="00D36B12" w:rsidP="0064377A">
            <w:pPr>
              <w:pStyle w:val="AttH-1H"/>
              <w:numPr>
                <w:ilvl w:val="0"/>
                <w:numId w:val="0"/>
              </w:numPr>
            </w:pPr>
            <w:r w:rsidRPr="007E651A">
              <w:rPr>
                <w:color w:val="000000"/>
              </w:rPr>
              <w:t>Verification of system functionality and completeness of system configurations including software version verification operational accuracy</w:t>
            </w:r>
            <w:r>
              <w:rPr>
                <w:color w:val="000000"/>
              </w:rPr>
              <w:t>.</w:t>
            </w:r>
          </w:p>
        </w:tc>
      </w:tr>
      <w:tr w:rsidR="00D36B12" w14:paraId="3FCE239D" w14:textId="77777777" w:rsidTr="0064377A">
        <w:tc>
          <w:tcPr>
            <w:tcW w:w="2695" w:type="dxa"/>
          </w:tcPr>
          <w:p w14:paraId="3C67FCE7" w14:textId="3A19825E" w:rsidR="00D36B12" w:rsidRPr="007E651A" w:rsidRDefault="00D36B12" w:rsidP="0064377A">
            <w:pPr>
              <w:pStyle w:val="AttH-1H"/>
              <w:numPr>
                <w:ilvl w:val="0"/>
                <w:numId w:val="0"/>
              </w:numPr>
            </w:pPr>
            <w:r w:rsidRPr="007E651A">
              <w:t>Onsite Training – key customer personnel</w:t>
            </w:r>
          </w:p>
        </w:tc>
        <w:tc>
          <w:tcPr>
            <w:tcW w:w="5305" w:type="dxa"/>
          </w:tcPr>
          <w:p w14:paraId="7C5E1164" w14:textId="7FAB34EC" w:rsidR="00D36B12" w:rsidRPr="007E651A" w:rsidRDefault="00D36B12" w:rsidP="0064377A">
            <w:pPr>
              <w:pStyle w:val="AttH-1H"/>
              <w:numPr>
                <w:ilvl w:val="0"/>
                <w:numId w:val="0"/>
              </w:numPr>
              <w:rPr>
                <w:color w:val="000000"/>
              </w:rPr>
            </w:pPr>
            <w:r w:rsidRPr="007E651A">
              <w:rPr>
                <w:color w:val="000000"/>
              </w:rPr>
              <w:t xml:space="preserve">Provide onsite training with key </w:t>
            </w:r>
            <w:r>
              <w:rPr>
                <w:color w:val="000000"/>
              </w:rPr>
              <w:t>RVTD</w:t>
            </w:r>
            <w:r w:rsidRPr="007E651A">
              <w:rPr>
                <w:color w:val="000000"/>
              </w:rPr>
              <w:t xml:space="preserve"> personnel as specified and required by the project</w:t>
            </w:r>
          </w:p>
        </w:tc>
      </w:tr>
      <w:tr w:rsidR="00D36B12" w14:paraId="60F44A53" w14:textId="77777777" w:rsidTr="0064377A">
        <w:tc>
          <w:tcPr>
            <w:tcW w:w="2695" w:type="dxa"/>
          </w:tcPr>
          <w:p w14:paraId="53B77894" w14:textId="77777777" w:rsidR="00D36B12" w:rsidRPr="007E651A" w:rsidRDefault="00D36B12" w:rsidP="0064377A">
            <w:pPr>
              <w:pStyle w:val="AttH-1H"/>
              <w:numPr>
                <w:ilvl w:val="0"/>
                <w:numId w:val="0"/>
              </w:numPr>
            </w:pPr>
            <w:r>
              <w:t>Acceptance Testing</w:t>
            </w:r>
          </w:p>
        </w:tc>
        <w:tc>
          <w:tcPr>
            <w:tcW w:w="5305" w:type="dxa"/>
          </w:tcPr>
          <w:p w14:paraId="4099A24D" w14:textId="661A4DB3" w:rsidR="00D36B12" w:rsidRPr="007E651A" w:rsidRDefault="00D36B12" w:rsidP="0064377A">
            <w:pPr>
              <w:pStyle w:val="AttH-1H"/>
              <w:numPr>
                <w:ilvl w:val="0"/>
                <w:numId w:val="0"/>
              </w:numPr>
              <w:rPr>
                <w:color w:val="000000"/>
              </w:rPr>
            </w:pPr>
            <w:r>
              <w:rPr>
                <w:color w:val="000000"/>
              </w:rPr>
              <w:t xml:space="preserve">RVTD representative </w:t>
            </w:r>
            <w:r w:rsidRPr="008175A8">
              <w:rPr>
                <w:color w:val="000000"/>
              </w:rPr>
              <w:t>will be onsite and available to sign-off on system acceptance upon the completion of orientation/demonstration</w:t>
            </w:r>
            <w:r>
              <w:rPr>
                <w:color w:val="000000"/>
              </w:rPr>
              <w:t>.</w:t>
            </w:r>
          </w:p>
        </w:tc>
      </w:tr>
      <w:tr w:rsidR="00D36B12" w14:paraId="64754286" w14:textId="77777777" w:rsidTr="0064377A">
        <w:tc>
          <w:tcPr>
            <w:tcW w:w="2695" w:type="dxa"/>
          </w:tcPr>
          <w:p w14:paraId="16D430A4" w14:textId="77777777" w:rsidR="00D36B12" w:rsidRPr="007E651A" w:rsidRDefault="00D36B12" w:rsidP="0064377A">
            <w:pPr>
              <w:pStyle w:val="AttH-1H"/>
              <w:numPr>
                <w:ilvl w:val="0"/>
                <w:numId w:val="0"/>
              </w:numPr>
            </w:pPr>
            <w:r w:rsidRPr="007E651A">
              <w:t>Warranty</w:t>
            </w:r>
          </w:p>
        </w:tc>
        <w:tc>
          <w:tcPr>
            <w:tcW w:w="5305" w:type="dxa"/>
          </w:tcPr>
          <w:p w14:paraId="655AB8ED" w14:textId="77777777" w:rsidR="00D36B12" w:rsidRPr="007E651A" w:rsidRDefault="00D36B12" w:rsidP="0064377A">
            <w:pPr>
              <w:pStyle w:val="AttH-1H"/>
              <w:numPr>
                <w:ilvl w:val="0"/>
                <w:numId w:val="0"/>
              </w:numPr>
              <w:rPr>
                <w:color w:val="000000"/>
              </w:rPr>
            </w:pPr>
            <w:r w:rsidRPr="007E651A">
              <w:rPr>
                <w:color w:val="000000"/>
              </w:rPr>
              <w:t>Include the terms of the warranty and the appropriate contact phone numbers for service.</w:t>
            </w:r>
          </w:p>
        </w:tc>
      </w:tr>
      <w:tr w:rsidR="00784BBD" w14:paraId="3D7F6B5B" w14:textId="77777777" w:rsidTr="0064377A">
        <w:tc>
          <w:tcPr>
            <w:tcW w:w="2695" w:type="dxa"/>
          </w:tcPr>
          <w:p w14:paraId="0185F423" w14:textId="49831A2D" w:rsidR="00784BBD" w:rsidRPr="007E651A" w:rsidRDefault="00784BBD" w:rsidP="00784BBD">
            <w:pPr>
              <w:pStyle w:val="AttH-1H"/>
              <w:numPr>
                <w:ilvl w:val="0"/>
                <w:numId w:val="0"/>
              </w:numPr>
            </w:pPr>
            <w:r w:rsidRPr="007E651A">
              <w:t>Engineering support</w:t>
            </w:r>
          </w:p>
        </w:tc>
        <w:tc>
          <w:tcPr>
            <w:tcW w:w="5305" w:type="dxa"/>
          </w:tcPr>
          <w:p w14:paraId="0AF393F2" w14:textId="4590199F" w:rsidR="00784BBD" w:rsidRPr="007E651A" w:rsidRDefault="00784BBD" w:rsidP="00784BBD">
            <w:pPr>
              <w:pStyle w:val="AttH-1H"/>
              <w:numPr>
                <w:ilvl w:val="0"/>
                <w:numId w:val="0"/>
              </w:numPr>
              <w:rPr>
                <w:color w:val="000000"/>
              </w:rPr>
            </w:pPr>
            <w:r w:rsidRPr="007E651A">
              <w:rPr>
                <w:color w:val="000000"/>
              </w:rPr>
              <w:t xml:space="preserve">Post-sale engineering support </w:t>
            </w:r>
          </w:p>
        </w:tc>
      </w:tr>
    </w:tbl>
    <w:p w14:paraId="5AD1A848" w14:textId="55AE0F86" w:rsidR="00514E5C" w:rsidRDefault="00514E5C" w:rsidP="00D36B12">
      <w:pPr>
        <w:pStyle w:val="AttH-1H"/>
        <w:numPr>
          <w:ilvl w:val="0"/>
          <w:numId w:val="0"/>
        </w:numPr>
      </w:pPr>
    </w:p>
    <w:p w14:paraId="119678F9" w14:textId="77777777" w:rsidR="00514E5C" w:rsidRDefault="00514E5C">
      <w:r>
        <w:br w:type="page"/>
      </w:r>
    </w:p>
    <w:p w14:paraId="79E7B198" w14:textId="2D263CA9" w:rsidR="0016162F" w:rsidRDefault="005551DF" w:rsidP="006627A3">
      <w:pPr>
        <w:pStyle w:val="AttH-1H"/>
        <w:ind w:left="1350" w:hanging="540"/>
        <w:rPr>
          <w:sz w:val="40"/>
          <w:szCs w:val="40"/>
        </w:rPr>
      </w:pPr>
      <w:r>
        <w:rPr>
          <w:sz w:val="40"/>
          <w:szCs w:val="40"/>
        </w:rPr>
        <w:lastRenderedPageBreak/>
        <w:t>Response</w:t>
      </w:r>
      <w:r w:rsidR="006627A3">
        <w:rPr>
          <w:sz w:val="40"/>
          <w:szCs w:val="40"/>
        </w:rPr>
        <w:t xml:space="preserve"> Requirements</w:t>
      </w:r>
    </w:p>
    <w:p w14:paraId="25C0960F" w14:textId="77777777" w:rsidR="005E260A" w:rsidRDefault="005E260A" w:rsidP="005E260A">
      <w:pPr>
        <w:pStyle w:val="AttH-1H"/>
        <w:numPr>
          <w:ilvl w:val="0"/>
          <w:numId w:val="0"/>
        </w:numPr>
        <w:ind w:left="1800"/>
      </w:pPr>
      <w:r>
        <w:t>All vendor supplied quotes must address each of the items listed in the Scope of Work and all other requirements set forth below.</w:t>
      </w:r>
    </w:p>
    <w:p w14:paraId="684976EB" w14:textId="77777777" w:rsidR="005E260A" w:rsidRDefault="005E260A" w:rsidP="005E260A">
      <w:pPr>
        <w:pStyle w:val="AttH-1H"/>
        <w:numPr>
          <w:ilvl w:val="5"/>
          <w:numId w:val="3"/>
        </w:numPr>
      </w:pPr>
      <w:r w:rsidRPr="00B47547">
        <w:t>Background of the firm. This should include a brief history of the firm and types of services the firm is qualified to perform</w:t>
      </w:r>
      <w:r>
        <w:t>.</w:t>
      </w:r>
    </w:p>
    <w:p w14:paraId="7F4CC96F" w14:textId="13F1FB23" w:rsidR="009C77EB" w:rsidRDefault="009C77EB" w:rsidP="005E260A">
      <w:pPr>
        <w:pStyle w:val="AttH-1H"/>
        <w:numPr>
          <w:ilvl w:val="5"/>
          <w:numId w:val="3"/>
        </w:numPr>
      </w:pPr>
      <w:r>
        <w:t xml:space="preserve">Description of </w:t>
      </w:r>
      <w:r w:rsidR="00F80945">
        <w:t>post-sale engineering support</w:t>
      </w:r>
      <w:r w:rsidR="0019358B">
        <w:t xml:space="preserve"> </w:t>
      </w:r>
      <w:r w:rsidR="00F80945">
        <w:t xml:space="preserve">including but not limited to, phone support, </w:t>
      </w:r>
      <w:r w:rsidR="002B1214">
        <w:t xml:space="preserve">email support, equipment coverage, </w:t>
      </w:r>
      <w:r w:rsidR="0019358B">
        <w:t xml:space="preserve">RMA schedule, </w:t>
      </w:r>
      <w:r w:rsidR="004C6680">
        <w:t>onsite support, annual preventive maintenance</w:t>
      </w:r>
      <w:r w:rsidR="00106668">
        <w:t xml:space="preserve">, etc. for a term of One (1) year, starting </w:t>
      </w:r>
      <w:r w:rsidR="008833BE">
        <w:t>on date of first beneficial use.</w:t>
      </w:r>
    </w:p>
    <w:p w14:paraId="2EE92570" w14:textId="66F21E3C" w:rsidR="00E37FE4" w:rsidRDefault="00E37FE4" w:rsidP="005E260A">
      <w:pPr>
        <w:pStyle w:val="AttH-1H"/>
        <w:numPr>
          <w:ilvl w:val="5"/>
          <w:numId w:val="3"/>
        </w:numPr>
      </w:pPr>
      <w:r>
        <w:t xml:space="preserve">Description of </w:t>
      </w:r>
      <w:r w:rsidR="004C2AC8">
        <w:t>warranty on workmanship and equipment</w:t>
      </w:r>
      <w:r w:rsidR="007A7760">
        <w:t>.</w:t>
      </w:r>
    </w:p>
    <w:p w14:paraId="650D5659" w14:textId="282C786B" w:rsidR="008833BE" w:rsidRDefault="008E4182" w:rsidP="005E260A">
      <w:pPr>
        <w:pStyle w:val="AttH-1H"/>
        <w:numPr>
          <w:ilvl w:val="5"/>
          <w:numId w:val="3"/>
        </w:numPr>
      </w:pPr>
      <w:r>
        <w:t xml:space="preserve">If vendor is </w:t>
      </w:r>
      <w:r w:rsidR="00F0152C">
        <w:t>proposing</w:t>
      </w:r>
      <w:r>
        <w:t xml:space="preserve"> any value-added services, vendor shall include statement describing these services </w:t>
      </w:r>
      <w:r w:rsidR="00B813FE">
        <w:t>and corresponding prices.</w:t>
      </w:r>
    </w:p>
    <w:p w14:paraId="6563FB6C" w14:textId="67B589AF" w:rsidR="005E260A" w:rsidRDefault="005E260A" w:rsidP="005E260A">
      <w:pPr>
        <w:pStyle w:val="AttH-1H"/>
        <w:numPr>
          <w:ilvl w:val="5"/>
          <w:numId w:val="3"/>
        </w:numPr>
      </w:pPr>
      <w:r>
        <w:t>Quotes must be guaranteed for 60 days after submittal</w:t>
      </w:r>
      <w:r w:rsidR="00261BF1">
        <w:t xml:space="preserve"> date</w:t>
      </w:r>
      <w:r>
        <w:t>.</w:t>
      </w:r>
    </w:p>
    <w:p w14:paraId="47B14735" w14:textId="472E0A86" w:rsidR="005E260A" w:rsidRDefault="00B813FE" w:rsidP="005E260A">
      <w:pPr>
        <w:pStyle w:val="AttH-1H"/>
        <w:numPr>
          <w:ilvl w:val="5"/>
          <w:numId w:val="3"/>
        </w:numPr>
      </w:pPr>
      <w:r>
        <w:t xml:space="preserve">Equipment </w:t>
      </w:r>
      <w:r w:rsidR="00F0152C">
        <w:t>lis</w:t>
      </w:r>
      <w:r w:rsidR="00D253F0">
        <w:t>t</w:t>
      </w:r>
      <w:r w:rsidR="00F0152C">
        <w:t xml:space="preserve"> and </w:t>
      </w:r>
      <w:r w:rsidR="000528FD">
        <w:t xml:space="preserve">all </w:t>
      </w:r>
      <w:r w:rsidR="00F0152C">
        <w:t>pric</w:t>
      </w:r>
      <w:r w:rsidR="000528FD">
        <w:t>ing</w:t>
      </w:r>
      <w:r w:rsidR="00F0152C">
        <w:t xml:space="preserve"> </w:t>
      </w:r>
      <w:r w:rsidR="005E260A">
        <w:t xml:space="preserve">must be submitted using </w:t>
      </w:r>
      <w:r w:rsidR="000528FD">
        <w:t>“</w:t>
      </w:r>
      <w:r w:rsidR="005E260A" w:rsidRPr="00D728DD">
        <w:rPr>
          <w:b/>
          <w:bCs/>
        </w:rPr>
        <w:t xml:space="preserve">Attachment B </w:t>
      </w:r>
      <w:r w:rsidR="001F4311" w:rsidRPr="00D728DD">
        <w:rPr>
          <w:b/>
          <w:bCs/>
        </w:rPr>
        <w:t>-</w:t>
      </w:r>
      <w:r w:rsidR="005E260A" w:rsidRPr="00D728DD">
        <w:rPr>
          <w:b/>
          <w:bCs/>
        </w:rPr>
        <w:t>RVTD Community Meeting Room AV Pricing.xlsx</w:t>
      </w:r>
      <w:r w:rsidR="000528FD">
        <w:t>”</w:t>
      </w:r>
    </w:p>
    <w:p w14:paraId="7705A873" w14:textId="6206E535" w:rsidR="005E260A" w:rsidRDefault="005E260A" w:rsidP="005E260A">
      <w:pPr>
        <w:pStyle w:val="AttH-1H"/>
        <w:numPr>
          <w:ilvl w:val="5"/>
          <w:numId w:val="3"/>
        </w:numPr>
      </w:pPr>
      <w:r>
        <w:t xml:space="preserve">Quotes must be submitted electronically via </w:t>
      </w:r>
      <w:r w:rsidR="00D728DD">
        <w:t>email</w:t>
      </w:r>
      <w:r>
        <w:t xml:space="preserve"> to </w:t>
      </w:r>
      <w:r w:rsidR="00446578">
        <w:t>mchristensen@rvtd.org</w:t>
      </w:r>
      <w:r>
        <w:t xml:space="preserve"> </w:t>
      </w:r>
      <w:r w:rsidRPr="00D728DD">
        <w:rPr>
          <w:b/>
          <w:bCs/>
        </w:rPr>
        <w:t>no later than 2:00pm</w:t>
      </w:r>
      <w:r w:rsidR="00236652" w:rsidRPr="00D728DD">
        <w:rPr>
          <w:b/>
          <w:bCs/>
        </w:rPr>
        <w:t xml:space="preserve"> PST</w:t>
      </w:r>
      <w:r w:rsidRPr="00D728DD">
        <w:rPr>
          <w:b/>
          <w:bCs/>
        </w:rPr>
        <w:t xml:space="preserve"> on August 24, 2023</w:t>
      </w:r>
      <w:r>
        <w:t>.</w:t>
      </w:r>
    </w:p>
    <w:p w14:paraId="2765F8EA" w14:textId="0B4A2121" w:rsidR="008650C5" w:rsidRDefault="009D529F" w:rsidP="007F2A0A">
      <w:pPr>
        <w:pStyle w:val="AttH-1H"/>
        <w:numPr>
          <w:ilvl w:val="5"/>
          <w:numId w:val="3"/>
        </w:numPr>
      </w:pPr>
      <w:r>
        <w:t xml:space="preserve">All contacts shall adhere to the Federal Clauses in </w:t>
      </w:r>
      <w:r w:rsidRPr="00D728DD">
        <w:rPr>
          <w:b/>
          <w:bCs/>
        </w:rPr>
        <w:t>Exhibit A</w:t>
      </w:r>
      <w:r>
        <w:t>. Required forms</w:t>
      </w:r>
      <w:r w:rsidR="005C658B">
        <w:t xml:space="preserve"> (“</w:t>
      </w:r>
      <w:r w:rsidR="005C658B" w:rsidRPr="005C658B">
        <w:t>Buy America Certification</w:t>
      </w:r>
      <w:r w:rsidR="005C658B">
        <w:t>”</w:t>
      </w:r>
      <w:r w:rsidR="005C658B" w:rsidRPr="005C658B">
        <w:t xml:space="preserve">, </w:t>
      </w:r>
      <w:r w:rsidR="005C658B">
        <w:t>“</w:t>
      </w:r>
      <w:r w:rsidR="005C658B" w:rsidRPr="005C658B">
        <w:t>DBE Participation Form</w:t>
      </w:r>
      <w:r w:rsidR="005C658B">
        <w:t>”</w:t>
      </w:r>
      <w:r w:rsidR="005C658B" w:rsidRPr="005C658B">
        <w:t xml:space="preserve">, </w:t>
      </w:r>
      <w:r w:rsidR="005C658B">
        <w:t>“</w:t>
      </w:r>
      <w:r w:rsidR="005C658B" w:rsidRPr="005C658B">
        <w:t>Government Debarment certification and Lobbying Restriction form”</w:t>
      </w:r>
      <w:r w:rsidR="005C658B">
        <w:t>)</w:t>
      </w:r>
      <w:r>
        <w:t xml:space="preserve"> m</w:t>
      </w:r>
      <w:r w:rsidR="00AC73A6">
        <w:t xml:space="preserve">ust be submitted </w:t>
      </w:r>
      <w:r w:rsidR="00D728DD">
        <w:t xml:space="preserve">along </w:t>
      </w:r>
      <w:r w:rsidR="00AC73A6">
        <w:t xml:space="preserve">with the </w:t>
      </w:r>
      <w:r w:rsidR="00D728DD">
        <w:t xml:space="preserve">attached </w:t>
      </w:r>
      <w:r w:rsidR="00AC73A6">
        <w:t xml:space="preserve">pricing form to </w:t>
      </w:r>
      <w:hyperlink r:id="rId9" w:history="1">
        <w:r w:rsidR="008650C5" w:rsidRPr="00370BCC">
          <w:rPr>
            <w:rStyle w:val="Hyperlink"/>
          </w:rPr>
          <w:t>mchristensen@rvtd.org</w:t>
        </w:r>
      </w:hyperlink>
    </w:p>
    <w:p w14:paraId="0FDC5B24" w14:textId="691D42D8" w:rsidR="005E260A" w:rsidRDefault="00DC36B3" w:rsidP="006627A3">
      <w:pPr>
        <w:pStyle w:val="AttH-1H"/>
        <w:ind w:left="1350" w:hanging="540"/>
        <w:rPr>
          <w:sz w:val="40"/>
          <w:szCs w:val="40"/>
        </w:rPr>
      </w:pPr>
      <w:r>
        <w:rPr>
          <w:sz w:val="40"/>
          <w:szCs w:val="40"/>
        </w:rPr>
        <w:t>Schedule</w:t>
      </w:r>
    </w:p>
    <w:p w14:paraId="7BDAB3E8" w14:textId="6692E482" w:rsidR="008F7369" w:rsidRDefault="00295B86" w:rsidP="008F7369">
      <w:pPr>
        <w:pStyle w:val="AttH-1H"/>
        <w:numPr>
          <w:ilvl w:val="0"/>
          <w:numId w:val="0"/>
        </w:numPr>
        <w:ind w:left="1800"/>
      </w:pPr>
      <w:r>
        <w:t>The table below represents a tent</w:t>
      </w:r>
      <w:r w:rsidR="007A7F2E">
        <w:t>ative schedule of events. All data listed are subject to change.</w:t>
      </w:r>
    </w:p>
    <w:tbl>
      <w:tblPr>
        <w:tblStyle w:val="TableGrid"/>
        <w:tblW w:w="0" w:type="auto"/>
        <w:tblInd w:w="1800" w:type="dxa"/>
        <w:tblLook w:val="04A0" w:firstRow="1" w:lastRow="0" w:firstColumn="1" w:lastColumn="0" w:noHBand="0" w:noVBand="1"/>
      </w:tblPr>
      <w:tblGrid>
        <w:gridCol w:w="3796"/>
        <w:gridCol w:w="3754"/>
      </w:tblGrid>
      <w:tr w:rsidR="007A7F2E" w14:paraId="764211B9" w14:textId="77777777" w:rsidTr="007A7F2E">
        <w:tc>
          <w:tcPr>
            <w:tcW w:w="4675" w:type="dxa"/>
          </w:tcPr>
          <w:p w14:paraId="4399FA3C" w14:textId="3E228D16" w:rsidR="007A7F2E" w:rsidRDefault="007A7F2E" w:rsidP="008F7369">
            <w:pPr>
              <w:pStyle w:val="AttH-1H"/>
              <w:numPr>
                <w:ilvl w:val="0"/>
                <w:numId w:val="0"/>
              </w:numPr>
            </w:pPr>
            <w:r>
              <w:t>RFQ Opening Date</w:t>
            </w:r>
          </w:p>
        </w:tc>
        <w:tc>
          <w:tcPr>
            <w:tcW w:w="4675" w:type="dxa"/>
          </w:tcPr>
          <w:p w14:paraId="0521A19F" w14:textId="0AC16002" w:rsidR="001874B5" w:rsidRDefault="001874B5" w:rsidP="008F7369">
            <w:pPr>
              <w:pStyle w:val="AttH-1H"/>
              <w:numPr>
                <w:ilvl w:val="0"/>
                <w:numId w:val="0"/>
              </w:numPr>
            </w:pPr>
            <w:r>
              <w:t>August 4, 2023</w:t>
            </w:r>
          </w:p>
        </w:tc>
      </w:tr>
      <w:tr w:rsidR="007A7F2E" w14:paraId="64BC1D07" w14:textId="77777777" w:rsidTr="007A7F2E">
        <w:tc>
          <w:tcPr>
            <w:tcW w:w="4675" w:type="dxa"/>
          </w:tcPr>
          <w:p w14:paraId="5FAED28D" w14:textId="7FB02CA7" w:rsidR="007A7F2E" w:rsidRDefault="001874B5" w:rsidP="008F7369">
            <w:pPr>
              <w:pStyle w:val="AttH-1H"/>
              <w:numPr>
                <w:ilvl w:val="0"/>
                <w:numId w:val="0"/>
              </w:numPr>
            </w:pPr>
            <w:r>
              <w:t>RFQ Closing Date</w:t>
            </w:r>
          </w:p>
        </w:tc>
        <w:tc>
          <w:tcPr>
            <w:tcW w:w="4675" w:type="dxa"/>
          </w:tcPr>
          <w:p w14:paraId="50D05E3D" w14:textId="02E742C1" w:rsidR="007A7F2E" w:rsidRDefault="001874B5" w:rsidP="008F7369">
            <w:pPr>
              <w:pStyle w:val="AttH-1H"/>
              <w:numPr>
                <w:ilvl w:val="0"/>
                <w:numId w:val="0"/>
              </w:numPr>
            </w:pPr>
            <w:r>
              <w:t xml:space="preserve">August </w:t>
            </w:r>
            <w:r w:rsidR="001E7CAC">
              <w:t>25, 2023</w:t>
            </w:r>
          </w:p>
        </w:tc>
      </w:tr>
      <w:tr w:rsidR="007A7F2E" w14:paraId="4340CCBE" w14:textId="77777777" w:rsidTr="007A7F2E">
        <w:tc>
          <w:tcPr>
            <w:tcW w:w="4675" w:type="dxa"/>
          </w:tcPr>
          <w:p w14:paraId="1FB291B4" w14:textId="3CB40338" w:rsidR="007A7F2E" w:rsidRDefault="001E7CAC" w:rsidP="008F7369">
            <w:pPr>
              <w:pStyle w:val="AttH-1H"/>
              <w:numPr>
                <w:ilvl w:val="0"/>
                <w:numId w:val="0"/>
              </w:numPr>
            </w:pPr>
            <w:r>
              <w:t>Notice of Award Date</w:t>
            </w:r>
          </w:p>
        </w:tc>
        <w:tc>
          <w:tcPr>
            <w:tcW w:w="4675" w:type="dxa"/>
          </w:tcPr>
          <w:p w14:paraId="208C590B" w14:textId="4AD4FBFD" w:rsidR="00E406FD" w:rsidRDefault="001E7CAC" w:rsidP="008F7369">
            <w:pPr>
              <w:pStyle w:val="AttH-1H"/>
              <w:numPr>
                <w:ilvl w:val="0"/>
                <w:numId w:val="0"/>
              </w:numPr>
            </w:pPr>
            <w:r>
              <w:t xml:space="preserve">August </w:t>
            </w:r>
            <w:r w:rsidR="00E406FD">
              <w:t>29, 2023</w:t>
            </w:r>
          </w:p>
        </w:tc>
      </w:tr>
      <w:tr w:rsidR="007A7F2E" w14:paraId="5CE8BDE1" w14:textId="77777777" w:rsidTr="007A7F2E">
        <w:tc>
          <w:tcPr>
            <w:tcW w:w="4675" w:type="dxa"/>
          </w:tcPr>
          <w:p w14:paraId="27FB7562" w14:textId="135D0FD1" w:rsidR="007A7F2E" w:rsidRDefault="00FF4AB5" w:rsidP="008F7369">
            <w:pPr>
              <w:pStyle w:val="AttH-1H"/>
              <w:numPr>
                <w:ilvl w:val="0"/>
                <w:numId w:val="0"/>
              </w:numPr>
            </w:pPr>
            <w:r>
              <w:t xml:space="preserve">General </w:t>
            </w:r>
            <w:r w:rsidR="00E406FD">
              <w:t>Construction Start Date</w:t>
            </w:r>
          </w:p>
        </w:tc>
        <w:tc>
          <w:tcPr>
            <w:tcW w:w="4675" w:type="dxa"/>
          </w:tcPr>
          <w:p w14:paraId="74D2FAB4" w14:textId="29600775" w:rsidR="00E406FD" w:rsidRDefault="00E406FD" w:rsidP="008F7369">
            <w:pPr>
              <w:pStyle w:val="AttH-1H"/>
              <w:numPr>
                <w:ilvl w:val="0"/>
                <w:numId w:val="0"/>
              </w:numPr>
            </w:pPr>
            <w:r>
              <w:t>September 18, 2023</w:t>
            </w:r>
          </w:p>
        </w:tc>
      </w:tr>
      <w:tr w:rsidR="00E406FD" w14:paraId="7D4EDF44" w14:textId="77777777" w:rsidTr="007A7F2E">
        <w:tc>
          <w:tcPr>
            <w:tcW w:w="4675" w:type="dxa"/>
          </w:tcPr>
          <w:p w14:paraId="23A464E8" w14:textId="70686731" w:rsidR="00E406FD" w:rsidRDefault="00E406FD" w:rsidP="008F7369">
            <w:pPr>
              <w:pStyle w:val="AttH-1H"/>
              <w:numPr>
                <w:ilvl w:val="0"/>
                <w:numId w:val="0"/>
              </w:numPr>
            </w:pPr>
            <w:r>
              <w:t>AV Installat</w:t>
            </w:r>
            <w:r w:rsidR="009A4AE4">
              <w:t>ion</w:t>
            </w:r>
            <w:r w:rsidR="001D4812">
              <w:t xml:space="preserve"> Start Date</w:t>
            </w:r>
          </w:p>
        </w:tc>
        <w:tc>
          <w:tcPr>
            <w:tcW w:w="4675" w:type="dxa"/>
          </w:tcPr>
          <w:p w14:paraId="74BFCE00" w14:textId="6583090C" w:rsidR="001D4812" w:rsidRDefault="00E425B5" w:rsidP="008F7369">
            <w:pPr>
              <w:pStyle w:val="AttH-1H"/>
              <w:numPr>
                <w:ilvl w:val="0"/>
                <w:numId w:val="0"/>
              </w:numPr>
            </w:pPr>
            <w:r>
              <w:t xml:space="preserve">Early </w:t>
            </w:r>
            <w:r w:rsidR="001D4812">
              <w:t>May 202</w:t>
            </w:r>
            <w:r>
              <w:t>4</w:t>
            </w:r>
          </w:p>
        </w:tc>
      </w:tr>
      <w:tr w:rsidR="001D4812" w14:paraId="43D38802" w14:textId="77777777" w:rsidTr="007A7F2E">
        <w:tc>
          <w:tcPr>
            <w:tcW w:w="4675" w:type="dxa"/>
          </w:tcPr>
          <w:p w14:paraId="0F26913E" w14:textId="2F201791" w:rsidR="001D4812" w:rsidRDefault="001D4812" w:rsidP="008F7369">
            <w:pPr>
              <w:pStyle w:val="AttH-1H"/>
              <w:numPr>
                <w:ilvl w:val="0"/>
                <w:numId w:val="0"/>
              </w:numPr>
            </w:pPr>
            <w:r>
              <w:t>AV Installation</w:t>
            </w:r>
            <w:r w:rsidR="00E425B5">
              <w:t xml:space="preserve"> End Date</w:t>
            </w:r>
          </w:p>
        </w:tc>
        <w:tc>
          <w:tcPr>
            <w:tcW w:w="4675" w:type="dxa"/>
          </w:tcPr>
          <w:p w14:paraId="559EB005" w14:textId="49C1D973" w:rsidR="001D4812" w:rsidRDefault="00E425B5" w:rsidP="008F7369">
            <w:pPr>
              <w:pStyle w:val="AttH-1H"/>
              <w:numPr>
                <w:ilvl w:val="0"/>
                <w:numId w:val="0"/>
              </w:numPr>
            </w:pPr>
            <w:r>
              <w:t>Late May 2024</w:t>
            </w:r>
          </w:p>
        </w:tc>
      </w:tr>
    </w:tbl>
    <w:p w14:paraId="20D820CF" w14:textId="73B5AB8C" w:rsidR="00062862" w:rsidRDefault="00062862" w:rsidP="002546BA">
      <w:pPr>
        <w:pStyle w:val="AttH-1H"/>
        <w:numPr>
          <w:ilvl w:val="0"/>
          <w:numId w:val="0"/>
        </w:numPr>
        <w:ind w:left="1350"/>
      </w:pPr>
    </w:p>
    <w:p w14:paraId="1B831AE3" w14:textId="77777777" w:rsidR="00062862" w:rsidRDefault="00062862">
      <w:r>
        <w:br w:type="page"/>
      </w:r>
    </w:p>
    <w:p w14:paraId="0CB1F578" w14:textId="586A2DC0" w:rsidR="00F50725" w:rsidRDefault="007D10DB" w:rsidP="007A30B1">
      <w:pPr>
        <w:pStyle w:val="AttH-1H"/>
        <w:numPr>
          <w:ilvl w:val="0"/>
          <w:numId w:val="0"/>
        </w:numPr>
        <w:ind w:left="810"/>
        <w:rPr>
          <w:sz w:val="40"/>
          <w:szCs w:val="40"/>
        </w:rPr>
      </w:pPr>
      <w:r w:rsidRPr="007A30B1">
        <w:rPr>
          <w:b/>
          <w:bCs/>
          <w:sz w:val="40"/>
          <w:szCs w:val="40"/>
        </w:rPr>
        <w:lastRenderedPageBreak/>
        <w:t>Section A</w:t>
      </w:r>
      <w:r w:rsidR="00DD4228">
        <w:rPr>
          <w:sz w:val="40"/>
          <w:szCs w:val="40"/>
        </w:rPr>
        <w:t xml:space="preserve"> – Construction Documents</w:t>
      </w:r>
    </w:p>
    <w:p w14:paraId="7B8BD47F" w14:textId="77777777" w:rsidR="000F3EFF" w:rsidRDefault="00E36214" w:rsidP="007A30B1">
      <w:pPr>
        <w:pStyle w:val="AttH-1H"/>
        <w:numPr>
          <w:ilvl w:val="0"/>
          <w:numId w:val="0"/>
        </w:numPr>
        <w:ind w:left="1890"/>
      </w:pPr>
      <w:r>
        <w:t xml:space="preserve">Please refer to </w:t>
      </w:r>
      <w:r w:rsidR="000528FD">
        <w:t>“</w:t>
      </w:r>
      <w:r w:rsidR="000528FD" w:rsidRPr="007D1164">
        <w:rPr>
          <w:b/>
          <w:bCs/>
        </w:rPr>
        <w:t>Attachment A - RVTD Downtown Admin Construction Documents.pdf</w:t>
      </w:r>
      <w:r w:rsidR="000528FD">
        <w:t>”</w:t>
      </w:r>
      <w:r w:rsidR="00C22D36">
        <w:t xml:space="preserve"> </w:t>
      </w:r>
      <w:r w:rsidR="00491D43">
        <w:t xml:space="preserve">for full </w:t>
      </w:r>
      <w:r w:rsidR="007F25EA">
        <w:t>C</w:t>
      </w:r>
      <w:r w:rsidR="00491D43">
        <w:t xml:space="preserve">onstruction documents and AV </w:t>
      </w:r>
      <w:r w:rsidR="004B30EF">
        <w:t>Infrastructure</w:t>
      </w:r>
      <w:r w:rsidR="004F6972">
        <w:t xml:space="preserve"> drawings.</w:t>
      </w:r>
    </w:p>
    <w:p w14:paraId="08784A46" w14:textId="660F7F19" w:rsidR="00DD4228" w:rsidRDefault="00C22D36" w:rsidP="007A30B1">
      <w:pPr>
        <w:pStyle w:val="AttH-1H"/>
        <w:numPr>
          <w:ilvl w:val="0"/>
          <w:numId w:val="0"/>
        </w:numPr>
        <w:ind w:left="1890"/>
      </w:pPr>
      <w:r>
        <w:t>Community Meeting Room layout listed below</w:t>
      </w:r>
      <w:r w:rsidR="00D2464C">
        <w:t>.</w:t>
      </w:r>
      <w:r w:rsidR="004C0725">
        <w:t xml:space="preserve"> </w:t>
      </w:r>
    </w:p>
    <w:p w14:paraId="3DA43D53" w14:textId="12C9042C" w:rsidR="004F6972" w:rsidRPr="001023B6" w:rsidRDefault="001023B6" w:rsidP="007D10DB">
      <w:pPr>
        <w:pStyle w:val="AttH-1H"/>
        <w:numPr>
          <w:ilvl w:val="0"/>
          <w:numId w:val="0"/>
        </w:numPr>
        <w:ind w:left="1350"/>
      </w:pPr>
      <w:r w:rsidRPr="001023B6">
        <w:rPr>
          <w:noProof/>
          <w:sz w:val="40"/>
          <w:szCs w:val="40"/>
        </w:rPr>
        <w:drawing>
          <wp:inline distT="0" distB="0" distL="0" distR="0" wp14:anchorId="7110817D" wp14:editId="031DBDEC">
            <wp:extent cx="5617474" cy="4572000"/>
            <wp:effectExtent l="0" t="0" r="2540" b="0"/>
            <wp:docPr id="1525762677"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62677" name="Picture 1" descr="Diagram&#10;&#10;Description automatically generated"/>
                    <pic:cNvPicPr/>
                  </pic:nvPicPr>
                  <pic:blipFill>
                    <a:blip r:embed="rId10"/>
                    <a:stretch>
                      <a:fillRect/>
                    </a:stretch>
                  </pic:blipFill>
                  <pic:spPr>
                    <a:xfrm>
                      <a:off x="0" y="0"/>
                      <a:ext cx="5628712" cy="4581146"/>
                    </a:xfrm>
                    <a:prstGeom prst="rect">
                      <a:avLst/>
                    </a:prstGeom>
                  </pic:spPr>
                </pic:pic>
              </a:graphicData>
            </a:graphic>
          </wp:inline>
        </w:drawing>
      </w:r>
    </w:p>
    <w:p w14:paraId="5F2F60B1" w14:textId="1B4F5A3F" w:rsidR="008650C5" w:rsidRDefault="008650C5">
      <w:r>
        <w:br w:type="page"/>
      </w:r>
    </w:p>
    <w:p w14:paraId="74DE07BE" w14:textId="1DBCAA4D" w:rsidR="00E2797A" w:rsidRDefault="00E2797A" w:rsidP="00E2797A">
      <w:pPr>
        <w:pStyle w:val="AttH-1H"/>
        <w:numPr>
          <w:ilvl w:val="0"/>
          <w:numId w:val="0"/>
        </w:numPr>
        <w:ind w:left="1350"/>
        <w:rPr>
          <w:sz w:val="40"/>
          <w:szCs w:val="40"/>
        </w:rPr>
      </w:pPr>
      <w:r w:rsidRPr="00D955A0">
        <w:rPr>
          <w:b/>
          <w:bCs/>
          <w:sz w:val="40"/>
          <w:szCs w:val="40"/>
        </w:rPr>
        <w:lastRenderedPageBreak/>
        <w:t>Section B</w:t>
      </w:r>
      <w:r>
        <w:rPr>
          <w:sz w:val="40"/>
          <w:szCs w:val="40"/>
        </w:rPr>
        <w:t xml:space="preserve"> – Equipment List</w:t>
      </w:r>
    </w:p>
    <w:p w14:paraId="53A8175F" w14:textId="77777777" w:rsidR="007D1164" w:rsidRDefault="00C51FC5" w:rsidP="008650C5">
      <w:pPr>
        <w:pStyle w:val="AttH-1H"/>
        <w:numPr>
          <w:ilvl w:val="0"/>
          <w:numId w:val="0"/>
        </w:numPr>
        <w:ind w:left="1350"/>
      </w:pPr>
      <w:r>
        <w:t xml:space="preserve">Products listed here are specified as a pre-approved </w:t>
      </w:r>
      <w:r w:rsidR="00CA4C24">
        <w:t>solution,</w:t>
      </w:r>
      <w:r>
        <w:t xml:space="preserve"> but "equivalent" solutions will be considered.</w:t>
      </w:r>
      <w:r w:rsidR="00AC73A6">
        <w:t xml:space="preserve"> </w:t>
      </w:r>
    </w:p>
    <w:p w14:paraId="172E57DE" w14:textId="4D94770D" w:rsidR="008650C5" w:rsidRDefault="00AC73A6" w:rsidP="008650C5">
      <w:pPr>
        <w:pStyle w:val="AttH-1H"/>
        <w:numPr>
          <w:ilvl w:val="0"/>
          <w:numId w:val="0"/>
        </w:numPr>
        <w:ind w:left="1350"/>
      </w:pPr>
      <w:r>
        <w:t xml:space="preserve">RVTD reserves the right to award all or a portion of the </w:t>
      </w:r>
      <w:r w:rsidR="008650C5">
        <w:t>selected vendor. There will be only one selected vendor RVTD will award the contact to. RVTD also reserves the right to discontinue this solicitation at any time up to award.</w:t>
      </w:r>
    </w:p>
    <w:p w14:paraId="6B946FA8" w14:textId="77777777" w:rsidR="007D1164" w:rsidRDefault="007D1164" w:rsidP="008650C5">
      <w:pPr>
        <w:pStyle w:val="AttH-1H"/>
        <w:numPr>
          <w:ilvl w:val="0"/>
          <w:numId w:val="0"/>
        </w:numPr>
        <w:ind w:left="1350"/>
      </w:pPr>
    </w:p>
    <w:tbl>
      <w:tblPr>
        <w:tblStyle w:val="TableGrid"/>
        <w:tblW w:w="8495" w:type="dxa"/>
        <w:tblInd w:w="1350" w:type="dxa"/>
        <w:tblLook w:val="04A0" w:firstRow="1" w:lastRow="0" w:firstColumn="1" w:lastColumn="0" w:noHBand="0" w:noVBand="1"/>
      </w:tblPr>
      <w:tblGrid>
        <w:gridCol w:w="714"/>
        <w:gridCol w:w="1703"/>
        <w:gridCol w:w="586"/>
        <w:gridCol w:w="1793"/>
        <w:gridCol w:w="3681"/>
        <w:gridCol w:w="18"/>
      </w:tblGrid>
      <w:tr w:rsidR="00467836" w14:paraId="7CCD28DA" w14:textId="77777777" w:rsidTr="00187A34">
        <w:trPr>
          <w:gridAfter w:val="1"/>
          <w:wAfter w:w="18" w:type="dxa"/>
        </w:trPr>
        <w:tc>
          <w:tcPr>
            <w:tcW w:w="715" w:type="dxa"/>
            <w:tcBorders>
              <w:bottom w:val="single" w:sz="4" w:space="0" w:color="auto"/>
            </w:tcBorders>
            <w:shd w:val="clear" w:color="auto" w:fill="D9E2F3" w:themeFill="accent1" w:themeFillTint="33"/>
          </w:tcPr>
          <w:p w14:paraId="64FD1397" w14:textId="5C320C1C" w:rsidR="00475CE1" w:rsidRPr="00E62243" w:rsidRDefault="00475CE1" w:rsidP="00C51FC5">
            <w:pPr>
              <w:pStyle w:val="AttH-1H"/>
              <w:numPr>
                <w:ilvl w:val="0"/>
                <w:numId w:val="0"/>
              </w:numPr>
              <w:rPr>
                <w:b/>
                <w:bCs/>
              </w:rPr>
            </w:pPr>
            <w:r w:rsidRPr="00E62243">
              <w:rPr>
                <w:b/>
                <w:bCs/>
              </w:rPr>
              <w:t>ITEM</w:t>
            </w:r>
          </w:p>
        </w:tc>
        <w:tc>
          <w:tcPr>
            <w:tcW w:w="1710" w:type="dxa"/>
            <w:tcBorders>
              <w:bottom w:val="single" w:sz="4" w:space="0" w:color="auto"/>
            </w:tcBorders>
            <w:shd w:val="clear" w:color="auto" w:fill="D9E2F3" w:themeFill="accent1" w:themeFillTint="33"/>
          </w:tcPr>
          <w:p w14:paraId="5BE567B0" w14:textId="47819FFD" w:rsidR="00475CE1" w:rsidRPr="00E62243" w:rsidRDefault="00475CE1" w:rsidP="00C51FC5">
            <w:pPr>
              <w:pStyle w:val="AttH-1H"/>
              <w:numPr>
                <w:ilvl w:val="0"/>
                <w:numId w:val="0"/>
              </w:numPr>
              <w:rPr>
                <w:b/>
                <w:bCs/>
              </w:rPr>
            </w:pPr>
            <w:r w:rsidRPr="00E62243">
              <w:rPr>
                <w:b/>
                <w:bCs/>
              </w:rPr>
              <w:t>BRAND</w:t>
            </w:r>
          </w:p>
        </w:tc>
        <w:tc>
          <w:tcPr>
            <w:tcW w:w="540" w:type="dxa"/>
            <w:tcBorders>
              <w:bottom w:val="single" w:sz="4" w:space="0" w:color="auto"/>
            </w:tcBorders>
            <w:shd w:val="clear" w:color="auto" w:fill="D9E2F3" w:themeFill="accent1" w:themeFillTint="33"/>
          </w:tcPr>
          <w:p w14:paraId="0AC7B0FE" w14:textId="3CBB905A" w:rsidR="00475CE1" w:rsidRPr="00E62243" w:rsidRDefault="00475CE1" w:rsidP="00C51FC5">
            <w:pPr>
              <w:pStyle w:val="AttH-1H"/>
              <w:numPr>
                <w:ilvl w:val="0"/>
                <w:numId w:val="0"/>
              </w:numPr>
              <w:rPr>
                <w:b/>
                <w:bCs/>
              </w:rPr>
            </w:pPr>
            <w:r w:rsidRPr="00E62243">
              <w:rPr>
                <w:b/>
                <w:bCs/>
              </w:rPr>
              <w:t>QTY</w:t>
            </w:r>
          </w:p>
        </w:tc>
        <w:tc>
          <w:tcPr>
            <w:tcW w:w="1800" w:type="dxa"/>
            <w:tcBorders>
              <w:bottom w:val="single" w:sz="4" w:space="0" w:color="auto"/>
            </w:tcBorders>
            <w:shd w:val="clear" w:color="auto" w:fill="D9E2F3" w:themeFill="accent1" w:themeFillTint="33"/>
          </w:tcPr>
          <w:p w14:paraId="29DDC2E3" w14:textId="2F323F7D" w:rsidR="00475CE1" w:rsidRPr="00E62243" w:rsidRDefault="00475CE1" w:rsidP="00C51FC5">
            <w:pPr>
              <w:pStyle w:val="AttH-1H"/>
              <w:numPr>
                <w:ilvl w:val="0"/>
                <w:numId w:val="0"/>
              </w:numPr>
              <w:rPr>
                <w:b/>
                <w:bCs/>
              </w:rPr>
            </w:pPr>
            <w:r w:rsidRPr="00E62243">
              <w:rPr>
                <w:b/>
                <w:bCs/>
              </w:rPr>
              <w:t>MODEL</w:t>
            </w:r>
          </w:p>
        </w:tc>
        <w:tc>
          <w:tcPr>
            <w:tcW w:w="3712" w:type="dxa"/>
            <w:tcBorders>
              <w:bottom w:val="single" w:sz="4" w:space="0" w:color="auto"/>
            </w:tcBorders>
            <w:shd w:val="clear" w:color="auto" w:fill="D9E2F3" w:themeFill="accent1" w:themeFillTint="33"/>
          </w:tcPr>
          <w:p w14:paraId="3B8A444C" w14:textId="6A2A2AFC" w:rsidR="00475CE1" w:rsidRPr="00E62243" w:rsidRDefault="00475CE1" w:rsidP="00C51FC5">
            <w:pPr>
              <w:pStyle w:val="AttH-1H"/>
              <w:numPr>
                <w:ilvl w:val="0"/>
                <w:numId w:val="0"/>
              </w:numPr>
              <w:rPr>
                <w:b/>
                <w:bCs/>
              </w:rPr>
            </w:pPr>
            <w:r w:rsidRPr="00E62243">
              <w:rPr>
                <w:b/>
                <w:bCs/>
              </w:rPr>
              <w:t>DESCRIPTION</w:t>
            </w:r>
          </w:p>
        </w:tc>
      </w:tr>
      <w:tr w:rsidR="00BB7A78" w14:paraId="6EE2247E" w14:textId="77777777" w:rsidTr="00090BB6">
        <w:tc>
          <w:tcPr>
            <w:tcW w:w="8495" w:type="dxa"/>
            <w:gridSpan w:val="6"/>
          </w:tcPr>
          <w:p w14:paraId="334B6804" w14:textId="499CCC3F" w:rsidR="00BB7A78" w:rsidRDefault="00BB7A78" w:rsidP="00C51FC5">
            <w:pPr>
              <w:pStyle w:val="AttH-1H"/>
              <w:numPr>
                <w:ilvl w:val="0"/>
                <w:numId w:val="0"/>
              </w:numPr>
            </w:pPr>
            <w:r w:rsidRPr="00605C0A">
              <w:rPr>
                <w:b/>
                <w:bCs/>
              </w:rPr>
              <w:t>VIDEO</w:t>
            </w:r>
          </w:p>
        </w:tc>
      </w:tr>
      <w:tr w:rsidR="009B68F7" w14:paraId="5841B88E" w14:textId="77777777" w:rsidTr="00187A34">
        <w:trPr>
          <w:gridAfter w:val="1"/>
          <w:wAfter w:w="18" w:type="dxa"/>
        </w:trPr>
        <w:tc>
          <w:tcPr>
            <w:tcW w:w="715" w:type="dxa"/>
          </w:tcPr>
          <w:p w14:paraId="3FAAADB8" w14:textId="6C51F5C0" w:rsidR="00605C0A" w:rsidRPr="00933EEA" w:rsidRDefault="00605C0A" w:rsidP="00C51FC5">
            <w:pPr>
              <w:pStyle w:val="AttH-1H"/>
              <w:numPr>
                <w:ilvl w:val="0"/>
                <w:numId w:val="0"/>
              </w:numPr>
            </w:pPr>
            <w:r w:rsidRPr="00933EEA">
              <w:t>1</w:t>
            </w:r>
          </w:p>
        </w:tc>
        <w:tc>
          <w:tcPr>
            <w:tcW w:w="1710" w:type="dxa"/>
          </w:tcPr>
          <w:p w14:paraId="11D74E9A" w14:textId="43B98836" w:rsidR="00605C0A" w:rsidRPr="00933EEA" w:rsidRDefault="00933EEA" w:rsidP="00C51FC5">
            <w:pPr>
              <w:pStyle w:val="AttH-1H"/>
              <w:numPr>
                <w:ilvl w:val="0"/>
                <w:numId w:val="0"/>
              </w:numPr>
            </w:pPr>
            <w:r w:rsidRPr="00933EEA">
              <w:t>CHIEF</w:t>
            </w:r>
          </w:p>
        </w:tc>
        <w:tc>
          <w:tcPr>
            <w:tcW w:w="540" w:type="dxa"/>
          </w:tcPr>
          <w:p w14:paraId="0BEF2CDC" w14:textId="102845EB" w:rsidR="00605C0A" w:rsidRPr="00933EEA" w:rsidRDefault="00933EEA" w:rsidP="00C51FC5">
            <w:pPr>
              <w:pStyle w:val="AttH-1H"/>
              <w:numPr>
                <w:ilvl w:val="0"/>
                <w:numId w:val="0"/>
              </w:numPr>
            </w:pPr>
            <w:r w:rsidRPr="00933EEA">
              <w:t>2</w:t>
            </w:r>
          </w:p>
        </w:tc>
        <w:tc>
          <w:tcPr>
            <w:tcW w:w="1800" w:type="dxa"/>
          </w:tcPr>
          <w:p w14:paraId="7198AF43" w14:textId="586256B2" w:rsidR="00605C0A" w:rsidRPr="00933EEA" w:rsidRDefault="00933EEA" w:rsidP="00C51FC5">
            <w:pPr>
              <w:pStyle w:val="AttH-1H"/>
              <w:numPr>
                <w:ilvl w:val="0"/>
                <w:numId w:val="0"/>
              </w:numPr>
            </w:pPr>
            <w:r w:rsidRPr="00933EEA">
              <w:t>MFQUB</w:t>
            </w:r>
          </w:p>
        </w:tc>
        <w:tc>
          <w:tcPr>
            <w:tcW w:w="3712" w:type="dxa"/>
          </w:tcPr>
          <w:p w14:paraId="09889827" w14:textId="76049993" w:rsidR="00605C0A" w:rsidRPr="00933EEA" w:rsidRDefault="00AD658F" w:rsidP="00C51FC5">
            <w:pPr>
              <w:pStyle w:val="AttH-1H"/>
              <w:numPr>
                <w:ilvl w:val="0"/>
                <w:numId w:val="0"/>
              </w:numPr>
            </w:pPr>
            <w:r w:rsidRPr="00AD658F">
              <w:t>2' MFP M</w:t>
            </w:r>
            <w:r w:rsidR="00327611">
              <w:t xml:space="preserve">obile </w:t>
            </w:r>
            <w:r w:rsidRPr="00AD658F">
              <w:t>C</w:t>
            </w:r>
            <w:r w:rsidR="00327611">
              <w:t>art</w:t>
            </w:r>
          </w:p>
        </w:tc>
      </w:tr>
      <w:tr w:rsidR="009B68F7" w14:paraId="73B5F664" w14:textId="77777777" w:rsidTr="00187A34">
        <w:trPr>
          <w:gridAfter w:val="1"/>
          <w:wAfter w:w="18" w:type="dxa"/>
        </w:trPr>
        <w:tc>
          <w:tcPr>
            <w:tcW w:w="715" w:type="dxa"/>
          </w:tcPr>
          <w:p w14:paraId="76ECFAA1" w14:textId="26BA60C0" w:rsidR="00AD658F" w:rsidRPr="00933EEA" w:rsidRDefault="00AD658F" w:rsidP="00C51FC5">
            <w:pPr>
              <w:pStyle w:val="AttH-1H"/>
              <w:numPr>
                <w:ilvl w:val="0"/>
                <w:numId w:val="0"/>
              </w:numPr>
            </w:pPr>
            <w:r>
              <w:t>2</w:t>
            </w:r>
          </w:p>
        </w:tc>
        <w:tc>
          <w:tcPr>
            <w:tcW w:w="1710" w:type="dxa"/>
          </w:tcPr>
          <w:p w14:paraId="7C57F4DD" w14:textId="3F7AC51B" w:rsidR="00AD658F" w:rsidRPr="00933EEA" w:rsidRDefault="00327611" w:rsidP="00C51FC5">
            <w:pPr>
              <w:pStyle w:val="AttH-1H"/>
              <w:numPr>
                <w:ilvl w:val="0"/>
                <w:numId w:val="0"/>
              </w:numPr>
            </w:pPr>
            <w:r w:rsidRPr="00933EEA">
              <w:t>CHIEF</w:t>
            </w:r>
          </w:p>
        </w:tc>
        <w:tc>
          <w:tcPr>
            <w:tcW w:w="540" w:type="dxa"/>
          </w:tcPr>
          <w:p w14:paraId="5559B54D" w14:textId="3AA363C3" w:rsidR="00AD658F" w:rsidRPr="00933EEA" w:rsidRDefault="00AD658F" w:rsidP="00C51FC5">
            <w:pPr>
              <w:pStyle w:val="AttH-1H"/>
              <w:numPr>
                <w:ilvl w:val="0"/>
                <w:numId w:val="0"/>
              </w:numPr>
            </w:pPr>
            <w:r>
              <w:t>1</w:t>
            </w:r>
          </w:p>
        </w:tc>
        <w:tc>
          <w:tcPr>
            <w:tcW w:w="1800" w:type="dxa"/>
          </w:tcPr>
          <w:p w14:paraId="6D8D1DEA" w14:textId="3F764985" w:rsidR="00AD658F" w:rsidRPr="00933EEA" w:rsidRDefault="00AD658F" w:rsidP="00C51FC5">
            <w:pPr>
              <w:pStyle w:val="AttH-1H"/>
              <w:numPr>
                <w:ilvl w:val="0"/>
                <w:numId w:val="0"/>
              </w:numPr>
            </w:pPr>
            <w:r w:rsidRPr="00AD658F">
              <w:t>RLF3</w:t>
            </w:r>
          </w:p>
        </w:tc>
        <w:tc>
          <w:tcPr>
            <w:tcW w:w="3712" w:type="dxa"/>
          </w:tcPr>
          <w:p w14:paraId="59C19D22" w14:textId="4CA2AE32" w:rsidR="00AD658F" w:rsidRPr="00AD658F" w:rsidRDefault="00AD658F" w:rsidP="00C51FC5">
            <w:pPr>
              <w:pStyle w:val="AttH-1H"/>
              <w:numPr>
                <w:ilvl w:val="0"/>
                <w:numId w:val="0"/>
              </w:numPr>
            </w:pPr>
            <w:r w:rsidRPr="00AD658F">
              <w:t>Large Fit Fixed Display Wall Mount</w:t>
            </w:r>
          </w:p>
        </w:tc>
      </w:tr>
      <w:tr w:rsidR="009B68F7" w14:paraId="3D35058B" w14:textId="77777777" w:rsidTr="00187A34">
        <w:trPr>
          <w:gridAfter w:val="1"/>
          <w:wAfter w:w="18" w:type="dxa"/>
        </w:trPr>
        <w:tc>
          <w:tcPr>
            <w:tcW w:w="715" w:type="dxa"/>
          </w:tcPr>
          <w:p w14:paraId="1D6FCA3A" w14:textId="1F93561A" w:rsidR="00AD658F" w:rsidRDefault="00327611" w:rsidP="00C51FC5">
            <w:pPr>
              <w:pStyle w:val="AttH-1H"/>
              <w:numPr>
                <w:ilvl w:val="0"/>
                <w:numId w:val="0"/>
              </w:numPr>
            </w:pPr>
            <w:r>
              <w:t>3</w:t>
            </w:r>
          </w:p>
        </w:tc>
        <w:tc>
          <w:tcPr>
            <w:tcW w:w="1710" w:type="dxa"/>
          </w:tcPr>
          <w:p w14:paraId="64ADDA2D" w14:textId="63E86184" w:rsidR="00AD658F" w:rsidRPr="00933EEA" w:rsidRDefault="00327611" w:rsidP="00C51FC5">
            <w:pPr>
              <w:pStyle w:val="AttH-1H"/>
              <w:numPr>
                <w:ilvl w:val="0"/>
                <w:numId w:val="0"/>
              </w:numPr>
            </w:pPr>
            <w:r w:rsidRPr="00933EEA">
              <w:t>CHIEF</w:t>
            </w:r>
          </w:p>
        </w:tc>
        <w:tc>
          <w:tcPr>
            <w:tcW w:w="540" w:type="dxa"/>
          </w:tcPr>
          <w:p w14:paraId="7C97D8A5" w14:textId="64F1F472" w:rsidR="00AD658F" w:rsidRDefault="00327611" w:rsidP="00C51FC5">
            <w:pPr>
              <w:pStyle w:val="AttH-1H"/>
              <w:numPr>
                <w:ilvl w:val="0"/>
                <w:numId w:val="0"/>
              </w:numPr>
            </w:pPr>
            <w:r>
              <w:t>2</w:t>
            </w:r>
          </w:p>
        </w:tc>
        <w:tc>
          <w:tcPr>
            <w:tcW w:w="1800" w:type="dxa"/>
          </w:tcPr>
          <w:p w14:paraId="685F2C26" w14:textId="280135BB" w:rsidR="00AD658F" w:rsidRPr="00AD658F" w:rsidRDefault="001560E1" w:rsidP="00C51FC5">
            <w:pPr>
              <w:pStyle w:val="AttH-1H"/>
              <w:numPr>
                <w:ilvl w:val="0"/>
                <w:numId w:val="0"/>
              </w:numPr>
            </w:pPr>
            <w:r w:rsidRPr="001560E1">
              <w:t>RXF3</w:t>
            </w:r>
          </w:p>
        </w:tc>
        <w:tc>
          <w:tcPr>
            <w:tcW w:w="3712" w:type="dxa"/>
          </w:tcPr>
          <w:p w14:paraId="262D9189" w14:textId="0E20752E" w:rsidR="00AD658F" w:rsidRPr="00AD658F" w:rsidRDefault="001560E1" w:rsidP="00C51FC5">
            <w:pPr>
              <w:pStyle w:val="AttH-1H"/>
              <w:numPr>
                <w:ilvl w:val="0"/>
                <w:numId w:val="0"/>
              </w:numPr>
            </w:pPr>
            <w:r w:rsidRPr="001560E1">
              <w:t>Extra-Large Fit Fixed Display Wall Mount</w:t>
            </w:r>
          </w:p>
        </w:tc>
      </w:tr>
      <w:tr w:rsidR="009B68F7" w14:paraId="7C9C5FBE" w14:textId="77777777" w:rsidTr="00187A34">
        <w:trPr>
          <w:gridAfter w:val="1"/>
          <w:wAfter w:w="18" w:type="dxa"/>
        </w:trPr>
        <w:tc>
          <w:tcPr>
            <w:tcW w:w="715" w:type="dxa"/>
          </w:tcPr>
          <w:p w14:paraId="439C88D3" w14:textId="1611FD6D" w:rsidR="001560E1" w:rsidRDefault="001560E1" w:rsidP="00C51FC5">
            <w:pPr>
              <w:pStyle w:val="AttH-1H"/>
              <w:numPr>
                <w:ilvl w:val="0"/>
                <w:numId w:val="0"/>
              </w:numPr>
            </w:pPr>
            <w:r>
              <w:t>4</w:t>
            </w:r>
          </w:p>
        </w:tc>
        <w:tc>
          <w:tcPr>
            <w:tcW w:w="1710" w:type="dxa"/>
          </w:tcPr>
          <w:p w14:paraId="6739DCAB" w14:textId="03335E98" w:rsidR="001560E1" w:rsidRPr="00933EEA" w:rsidRDefault="001560E1" w:rsidP="00C51FC5">
            <w:pPr>
              <w:pStyle w:val="AttH-1H"/>
              <w:numPr>
                <w:ilvl w:val="0"/>
                <w:numId w:val="0"/>
              </w:numPr>
            </w:pPr>
            <w:r w:rsidRPr="001560E1">
              <w:t>Samsung</w:t>
            </w:r>
          </w:p>
        </w:tc>
        <w:tc>
          <w:tcPr>
            <w:tcW w:w="540" w:type="dxa"/>
          </w:tcPr>
          <w:p w14:paraId="31D37A0B" w14:textId="64C09A66" w:rsidR="001560E1" w:rsidRDefault="001560E1" w:rsidP="00C51FC5">
            <w:pPr>
              <w:pStyle w:val="AttH-1H"/>
              <w:numPr>
                <w:ilvl w:val="0"/>
                <w:numId w:val="0"/>
              </w:numPr>
            </w:pPr>
            <w:r>
              <w:t>2</w:t>
            </w:r>
          </w:p>
        </w:tc>
        <w:tc>
          <w:tcPr>
            <w:tcW w:w="1800" w:type="dxa"/>
          </w:tcPr>
          <w:p w14:paraId="18FDBD62" w14:textId="5A0F0CC5" w:rsidR="001560E1" w:rsidRPr="001560E1" w:rsidRDefault="001560E1" w:rsidP="00C51FC5">
            <w:pPr>
              <w:pStyle w:val="AttH-1H"/>
              <w:numPr>
                <w:ilvl w:val="0"/>
                <w:numId w:val="0"/>
              </w:numPr>
            </w:pPr>
            <w:r w:rsidRPr="001560E1">
              <w:t>QE55T</w:t>
            </w:r>
          </w:p>
        </w:tc>
        <w:tc>
          <w:tcPr>
            <w:tcW w:w="3712" w:type="dxa"/>
          </w:tcPr>
          <w:p w14:paraId="595713B8" w14:textId="722B3D98" w:rsidR="001560E1" w:rsidRPr="001560E1" w:rsidRDefault="00CC1A7B" w:rsidP="00C51FC5">
            <w:pPr>
              <w:pStyle w:val="AttH-1H"/>
              <w:numPr>
                <w:ilvl w:val="0"/>
                <w:numId w:val="0"/>
              </w:numPr>
            </w:pPr>
            <w:r w:rsidRPr="00CC1A7B">
              <w:t xml:space="preserve">55"QET Standalone </w:t>
            </w:r>
            <w:proofErr w:type="spellStart"/>
            <w:r w:rsidRPr="00CC1A7B">
              <w:t>Displau</w:t>
            </w:r>
            <w:r w:rsidR="00D871B1">
              <w:t>y</w:t>
            </w:r>
            <w:proofErr w:type="spellEnd"/>
            <w:r w:rsidRPr="00CC1A7B">
              <w:t xml:space="preserve"> Crystal UHD 3840x2160,300 nit, 16/7</w:t>
            </w:r>
          </w:p>
        </w:tc>
      </w:tr>
      <w:tr w:rsidR="00F33CFF" w14:paraId="01026852" w14:textId="77777777" w:rsidTr="00187A34">
        <w:trPr>
          <w:gridAfter w:val="1"/>
          <w:wAfter w:w="18" w:type="dxa"/>
        </w:trPr>
        <w:tc>
          <w:tcPr>
            <w:tcW w:w="715" w:type="dxa"/>
          </w:tcPr>
          <w:p w14:paraId="7A9B9E6B" w14:textId="5468C377" w:rsidR="00CC1A7B" w:rsidRDefault="00CC1A7B" w:rsidP="00C51FC5">
            <w:pPr>
              <w:pStyle w:val="AttH-1H"/>
              <w:numPr>
                <w:ilvl w:val="0"/>
                <w:numId w:val="0"/>
              </w:numPr>
            </w:pPr>
            <w:r>
              <w:t>5</w:t>
            </w:r>
          </w:p>
        </w:tc>
        <w:tc>
          <w:tcPr>
            <w:tcW w:w="1710" w:type="dxa"/>
          </w:tcPr>
          <w:p w14:paraId="3F197046" w14:textId="20DCC15B" w:rsidR="00CC1A7B" w:rsidRPr="001560E1" w:rsidRDefault="00CC1A7B" w:rsidP="00C51FC5">
            <w:pPr>
              <w:pStyle w:val="AttH-1H"/>
              <w:numPr>
                <w:ilvl w:val="0"/>
                <w:numId w:val="0"/>
              </w:numPr>
            </w:pPr>
            <w:r w:rsidRPr="001560E1">
              <w:t>Samsung</w:t>
            </w:r>
          </w:p>
        </w:tc>
        <w:tc>
          <w:tcPr>
            <w:tcW w:w="540" w:type="dxa"/>
          </w:tcPr>
          <w:p w14:paraId="4DF4FB94" w14:textId="4FF27D46" w:rsidR="00CC1A7B" w:rsidRDefault="00CC1A7B" w:rsidP="00C51FC5">
            <w:pPr>
              <w:pStyle w:val="AttH-1H"/>
              <w:numPr>
                <w:ilvl w:val="0"/>
                <w:numId w:val="0"/>
              </w:numPr>
            </w:pPr>
            <w:r>
              <w:t>1</w:t>
            </w:r>
          </w:p>
        </w:tc>
        <w:tc>
          <w:tcPr>
            <w:tcW w:w="1800" w:type="dxa"/>
          </w:tcPr>
          <w:p w14:paraId="4A6447EA" w14:textId="4782F9A9" w:rsidR="00CC1A7B" w:rsidRPr="001560E1" w:rsidRDefault="004D2612" w:rsidP="00C51FC5">
            <w:pPr>
              <w:pStyle w:val="AttH-1H"/>
              <w:numPr>
                <w:ilvl w:val="0"/>
                <w:numId w:val="0"/>
              </w:numPr>
            </w:pPr>
            <w:r w:rsidRPr="004D2612">
              <w:t>QB75B</w:t>
            </w:r>
          </w:p>
        </w:tc>
        <w:tc>
          <w:tcPr>
            <w:tcW w:w="3712" w:type="dxa"/>
          </w:tcPr>
          <w:p w14:paraId="0427AC1C" w14:textId="7B7A3DF7" w:rsidR="00CC1A7B" w:rsidRPr="00CC1A7B" w:rsidRDefault="004D2612" w:rsidP="00C51FC5">
            <w:pPr>
              <w:pStyle w:val="AttH-1H"/>
              <w:numPr>
                <w:ilvl w:val="0"/>
                <w:numId w:val="0"/>
              </w:numPr>
            </w:pPr>
            <w:r w:rsidRPr="004D2612">
              <w:t xml:space="preserve">75"3840x2160 4K UHD LED LCD Display, 350 nit 16/7 </w:t>
            </w:r>
            <w:r>
              <w:t>–</w:t>
            </w:r>
            <w:r w:rsidRPr="004D2612">
              <w:t xml:space="preserve"> Black</w:t>
            </w:r>
          </w:p>
        </w:tc>
      </w:tr>
      <w:tr w:rsidR="00421BA5" w14:paraId="10257283" w14:textId="77777777" w:rsidTr="00187A34">
        <w:trPr>
          <w:gridAfter w:val="1"/>
          <w:wAfter w:w="18" w:type="dxa"/>
        </w:trPr>
        <w:tc>
          <w:tcPr>
            <w:tcW w:w="715" w:type="dxa"/>
            <w:tcBorders>
              <w:bottom w:val="single" w:sz="4" w:space="0" w:color="auto"/>
            </w:tcBorders>
          </w:tcPr>
          <w:p w14:paraId="0946BBD6" w14:textId="07A6D745" w:rsidR="004D2612" w:rsidRDefault="004D2612" w:rsidP="00C51FC5">
            <w:pPr>
              <w:pStyle w:val="AttH-1H"/>
              <w:numPr>
                <w:ilvl w:val="0"/>
                <w:numId w:val="0"/>
              </w:numPr>
            </w:pPr>
            <w:r>
              <w:t>6</w:t>
            </w:r>
          </w:p>
        </w:tc>
        <w:tc>
          <w:tcPr>
            <w:tcW w:w="1710" w:type="dxa"/>
            <w:tcBorders>
              <w:bottom w:val="single" w:sz="4" w:space="0" w:color="auto"/>
            </w:tcBorders>
          </w:tcPr>
          <w:p w14:paraId="79A0B33E" w14:textId="7856B8E7" w:rsidR="004D2612" w:rsidRPr="001560E1" w:rsidRDefault="004D2612" w:rsidP="00C51FC5">
            <w:pPr>
              <w:pStyle w:val="AttH-1H"/>
              <w:numPr>
                <w:ilvl w:val="0"/>
                <w:numId w:val="0"/>
              </w:numPr>
            </w:pPr>
            <w:r w:rsidRPr="001560E1">
              <w:t>Samsung</w:t>
            </w:r>
          </w:p>
        </w:tc>
        <w:tc>
          <w:tcPr>
            <w:tcW w:w="540" w:type="dxa"/>
            <w:tcBorders>
              <w:bottom w:val="single" w:sz="4" w:space="0" w:color="auto"/>
            </w:tcBorders>
          </w:tcPr>
          <w:p w14:paraId="25093BB3" w14:textId="3200706D" w:rsidR="004D2612" w:rsidRDefault="004D2612" w:rsidP="00C51FC5">
            <w:pPr>
              <w:pStyle w:val="AttH-1H"/>
              <w:numPr>
                <w:ilvl w:val="0"/>
                <w:numId w:val="0"/>
              </w:numPr>
            </w:pPr>
            <w:r>
              <w:t>2</w:t>
            </w:r>
          </w:p>
        </w:tc>
        <w:tc>
          <w:tcPr>
            <w:tcW w:w="1800" w:type="dxa"/>
            <w:tcBorders>
              <w:bottom w:val="single" w:sz="4" w:space="0" w:color="auto"/>
            </w:tcBorders>
          </w:tcPr>
          <w:p w14:paraId="6E440456" w14:textId="1B46C8FD" w:rsidR="004D2612" w:rsidRPr="004D2612" w:rsidRDefault="00976BFF" w:rsidP="00C51FC5">
            <w:pPr>
              <w:pStyle w:val="AttH-1H"/>
              <w:numPr>
                <w:ilvl w:val="0"/>
                <w:numId w:val="0"/>
              </w:numPr>
            </w:pPr>
            <w:r w:rsidRPr="00976BFF">
              <w:t>QB98T-B</w:t>
            </w:r>
          </w:p>
        </w:tc>
        <w:tc>
          <w:tcPr>
            <w:tcW w:w="3712" w:type="dxa"/>
            <w:tcBorders>
              <w:bottom w:val="single" w:sz="4" w:space="0" w:color="auto"/>
            </w:tcBorders>
          </w:tcPr>
          <w:p w14:paraId="42674DEE" w14:textId="67B35B53" w:rsidR="004D2612" w:rsidRPr="004D2612" w:rsidRDefault="00976BFF" w:rsidP="00C51FC5">
            <w:pPr>
              <w:pStyle w:val="AttH-1H"/>
              <w:numPr>
                <w:ilvl w:val="0"/>
                <w:numId w:val="0"/>
              </w:numPr>
            </w:pPr>
            <w:r w:rsidRPr="00976BFF">
              <w:t xml:space="preserve">98"4K UHD LED LCD Built in </w:t>
            </w:r>
            <w:proofErr w:type="spellStart"/>
            <w:r w:rsidRPr="00976BFF">
              <w:t>Magicinfo</w:t>
            </w:r>
            <w:proofErr w:type="spellEnd"/>
            <w:r w:rsidRPr="00976BFF">
              <w:t xml:space="preserve"> S6 3840x2160 24/7 </w:t>
            </w:r>
            <w:r>
              <w:t>–</w:t>
            </w:r>
            <w:r w:rsidRPr="00976BFF">
              <w:t xml:space="preserve"> Black</w:t>
            </w:r>
          </w:p>
        </w:tc>
      </w:tr>
      <w:tr w:rsidR="003756C3" w14:paraId="295B39A8" w14:textId="77777777" w:rsidTr="00090BB6">
        <w:tc>
          <w:tcPr>
            <w:tcW w:w="8495" w:type="dxa"/>
            <w:gridSpan w:val="6"/>
          </w:tcPr>
          <w:p w14:paraId="781DC6A9" w14:textId="5D90FC5D" w:rsidR="003756C3" w:rsidRPr="00976BFF" w:rsidRDefault="00590AA2" w:rsidP="00C51FC5">
            <w:pPr>
              <w:pStyle w:val="AttH-1H"/>
              <w:numPr>
                <w:ilvl w:val="0"/>
                <w:numId w:val="0"/>
              </w:numPr>
            </w:pPr>
            <w:r>
              <w:rPr>
                <w:b/>
                <w:bCs/>
              </w:rPr>
              <w:t>VIDEO CONFERENCE SYSTEM</w:t>
            </w:r>
          </w:p>
        </w:tc>
      </w:tr>
      <w:tr w:rsidR="00F33CFF" w14:paraId="1C570227" w14:textId="77777777" w:rsidTr="00187A34">
        <w:trPr>
          <w:gridAfter w:val="1"/>
          <w:wAfter w:w="18" w:type="dxa"/>
        </w:trPr>
        <w:tc>
          <w:tcPr>
            <w:tcW w:w="715" w:type="dxa"/>
          </w:tcPr>
          <w:p w14:paraId="1B9ADC9D" w14:textId="2B426974" w:rsidR="00976BFF" w:rsidRDefault="00774DDF" w:rsidP="00C51FC5">
            <w:pPr>
              <w:pStyle w:val="AttH-1H"/>
              <w:numPr>
                <w:ilvl w:val="0"/>
                <w:numId w:val="0"/>
              </w:numPr>
            </w:pPr>
            <w:r>
              <w:t>7</w:t>
            </w:r>
          </w:p>
        </w:tc>
        <w:tc>
          <w:tcPr>
            <w:tcW w:w="1710" w:type="dxa"/>
          </w:tcPr>
          <w:p w14:paraId="1F0E3C78" w14:textId="48DA6F95" w:rsidR="00976BFF" w:rsidRPr="001560E1" w:rsidRDefault="00774DDF" w:rsidP="00C51FC5">
            <w:pPr>
              <w:pStyle w:val="AttH-1H"/>
              <w:numPr>
                <w:ilvl w:val="0"/>
                <w:numId w:val="0"/>
              </w:numPr>
            </w:pPr>
            <w:r>
              <w:t>Aver</w:t>
            </w:r>
          </w:p>
        </w:tc>
        <w:tc>
          <w:tcPr>
            <w:tcW w:w="540" w:type="dxa"/>
          </w:tcPr>
          <w:p w14:paraId="00327B60" w14:textId="7EF77460" w:rsidR="00976BFF" w:rsidRDefault="00774DDF" w:rsidP="00C51FC5">
            <w:pPr>
              <w:pStyle w:val="AttH-1H"/>
              <w:numPr>
                <w:ilvl w:val="0"/>
                <w:numId w:val="0"/>
              </w:numPr>
            </w:pPr>
            <w:r>
              <w:t>3</w:t>
            </w:r>
          </w:p>
        </w:tc>
        <w:tc>
          <w:tcPr>
            <w:tcW w:w="1800" w:type="dxa"/>
          </w:tcPr>
          <w:p w14:paraId="2BB3B2B2" w14:textId="21174DA0" w:rsidR="00976BFF" w:rsidRPr="00976BFF" w:rsidRDefault="00467836" w:rsidP="00C51FC5">
            <w:pPr>
              <w:pStyle w:val="AttH-1H"/>
              <w:numPr>
                <w:ilvl w:val="0"/>
                <w:numId w:val="0"/>
              </w:numPr>
            </w:pPr>
            <w:r w:rsidRPr="00467836">
              <w:t>CAM550</w:t>
            </w:r>
          </w:p>
        </w:tc>
        <w:tc>
          <w:tcPr>
            <w:tcW w:w="3712" w:type="dxa"/>
          </w:tcPr>
          <w:p w14:paraId="27DB1F93" w14:textId="48B9B5FD" w:rsidR="00976BFF" w:rsidRPr="00976BFF" w:rsidRDefault="00467836" w:rsidP="00C51FC5">
            <w:pPr>
              <w:pStyle w:val="AttH-1H"/>
              <w:numPr>
                <w:ilvl w:val="0"/>
                <w:numId w:val="0"/>
              </w:numPr>
            </w:pPr>
            <w:r w:rsidRPr="00467836">
              <w:t>4K Dual lens PTZ Conferencing Camera</w:t>
            </w:r>
          </w:p>
        </w:tc>
      </w:tr>
      <w:tr w:rsidR="00F33CFF" w14:paraId="3F9FC50B" w14:textId="77777777" w:rsidTr="00187A34">
        <w:trPr>
          <w:gridAfter w:val="1"/>
          <w:wAfter w:w="18" w:type="dxa"/>
        </w:trPr>
        <w:tc>
          <w:tcPr>
            <w:tcW w:w="715" w:type="dxa"/>
          </w:tcPr>
          <w:p w14:paraId="272529D1" w14:textId="178774A4" w:rsidR="00BB7A78" w:rsidRDefault="00467836" w:rsidP="00C51FC5">
            <w:pPr>
              <w:pStyle w:val="AttH-1H"/>
              <w:numPr>
                <w:ilvl w:val="0"/>
                <w:numId w:val="0"/>
              </w:numPr>
            </w:pPr>
            <w:r>
              <w:t>8</w:t>
            </w:r>
          </w:p>
        </w:tc>
        <w:tc>
          <w:tcPr>
            <w:tcW w:w="1710" w:type="dxa"/>
          </w:tcPr>
          <w:p w14:paraId="57C1F6D7" w14:textId="5508DBA0" w:rsidR="00BB7A78" w:rsidRPr="001560E1" w:rsidRDefault="00253CCD" w:rsidP="00C51FC5">
            <w:pPr>
              <w:pStyle w:val="AttH-1H"/>
              <w:numPr>
                <w:ilvl w:val="0"/>
                <w:numId w:val="0"/>
              </w:numPr>
            </w:pPr>
            <w:r w:rsidRPr="00253CCD">
              <w:t>Extron</w:t>
            </w:r>
          </w:p>
        </w:tc>
        <w:tc>
          <w:tcPr>
            <w:tcW w:w="540" w:type="dxa"/>
          </w:tcPr>
          <w:p w14:paraId="47276D9F" w14:textId="4FDE72C6" w:rsidR="00BB7A78" w:rsidRDefault="00253CCD" w:rsidP="00C51FC5">
            <w:pPr>
              <w:pStyle w:val="AttH-1H"/>
              <w:numPr>
                <w:ilvl w:val="0"/>
                <w:numId w:val="0"/>
              </w:numPr>
            </w:pPr>
            <w:r>
              <w:t>2</w:t>
            </w:r>
          </w:p>
        </w:tc>
        <w:tc>
          <w:tcPr>
            <w:tcW w:w="1800" w:type="dxa"/>
          </w:tcPr>
          <w:p w14:paraId="4EA54C98" w14:textId="66A73C1C" w:rsidR="00BB7A78" w:rsidRPr="00976BFF" w:rsidRDefault="00253CCD" w:rsidP="00C51FC5">
            <w:pPr>
              <w:pStyle w:val="AttH-1H"/>
              <w:numPr>
                <w:ilvl w:val="0"/>
                <w:numId w:val="0"/>
              </w:numPr>
            </w:pPr>
            <w:r w:rsidRPr="00253CCD">
              <w:t>26-728-35</w:t>
            </w:r>
          </w:p>
        </w:tc>
        <w:tc>
          <w:tcPr>
            <w:tcW w:w="3712" w:type="dxa"/>
          </w:tcPr>
          <w:p w14:paraId="36784946" w14:textId="16A0B408" w:rsidR="00BB7A78" w:rsidRPr="00976BFF" w:rsidRDefault="00E034CF" w:rsidP="00D67CC3">
            <w:pPr>
              <w:pStyle w:val="AttH-1H"/>
              <w:numPr>
                <w:ilvl w:val="0"/>
                <w:numId w:val="0"/>
              </w:numPr>
            </w:pPr>
            <w:r>
              <w:t>USBA Pro P/35 - USB Type-A (male - female) SuperSpeed 5 Gbps Optical Cable 35' (10.6</w:t>
            </w:r>
            <w:r w:rsidR="00D67CC3">
              <w:t xml:space="preserve"> </w:t>
            </w:r>
            <w:r>
              <w:t>m) – Plenum</w:t>
            </w:r>
          </w:p>
        </w:tc>
      </w:tr>
      <w:tr w:rsidR="00E034CF" w14:paraId="3C31240C" w14:textId="77777777" w:rsidTr="00187A34">
        <w:trPr>
          <w:gridAfter w:val="1"/>
          <w:wAfter w:w="18" w:type="dxa"/>
        </w:trPr>
        <w:tc>
          <w:tcPr>
            <w:tcW w:w="715" w:type="dxa"/>
          </w:tcPr>
          <w:p w14:paraId="163CF92F" w14:textId="72A6E8B6" w:rsidR="00E034CF" w:rsidRDefault="00331D37" w:rsidP="00C51FC5">
            <w:pPr>
              <w:pStyle w:val="AttH-1H"/>
              <w:numPr>
                <w:ilvl w:val="0"/>
                <w:numId w:val="0"/>
              </w:numPr>
            </w:pPr>
            <w:r>
              <w:t>9</w:t>
            </w:r>
          </w:p>
        </w:tc>
        <w:tc>
          <w:tcPr>
            <w:tcW w:w="1710" w:type="dxa"/>
          </w:tcPr>
          <w:p w14:paraId="3C3036D9" w14:textId="4C43ED00" w:rsidR="00E034CF" w:rsidRPr="00253CCD" w:rsidRDefault="00331D37" w:rsidP="00C51FC5">
            <w:pPr>
              <w:pStyle w:val="AttH-1H"/>
              <w:numPr>
                <w:ilvl w:val="0"/>
                <w:numId w:val="0"/>
              </w:numPr>
            </w:pPr>
            <w:r w:rsidRPr="00253CCD">
              <w:t>Extron</w:t>
            </w:r>
          </w:p>
        </w:tc>
        <w:tc>
          <w:tcPr>
            <w:tcW w:w="540" w:type="dxa"/>
          </w:tcPr>
          <w:p w14:paraId="20B4F435" w14:textId="30B53B48" w:rsidR="00E034CF" w:rsidRDefault="00331D37" w:rsidP="00C51FC5">
            <w:pPr>
              <w:pStyle w:val="AttH-1H"/>
              <w:numPr>
                <w:ilvl w:val="0"/>
                <w:numId w:val="0"/>
              </w:numPr>
            </w:pPr>
            <w:r>
              <w:t>1</w:t>
            </w:r>
          </w:p>
        </w:tc>
        <w:tc>
          <w:tcPr>
            <w:tcW w:w="1800" w:type="dxa"/>
          </w:tcPr>
          <w:p w14:paraId="590952C5" w14:textId="747C6303" w:rsidR="00E034CF" w:rsidRPr="00253CCD" w:rsidRDefault="00331D37" w:rsidP="00C51FC5">
            <w:pPr>
              <w:pStyle w:val="AttH-1H"/>
              <w:numPr>
                <w:ilvl w:val="0"/>
                <w:numId w:val="0"/>
              </w:numPr>
            </w:pPr>
            <w:r w:rsidRPr="00331D37">
              <w:t>26-728-65</w:t>
            </w:r>
          </w:p>
        </w:tc>
        <w:tc>
          <w:tcPr>
            <w:tcW w:w="3712" w:type="dxa"/>
          </w:tcPr>
          <w:p w14:paraId="55B92E46" w14:textId="2DA0452D" w:rsidR="00E034CF" w:rsidRDefault="00331D37" w:rsidP="00D67CC3">
            <w:pPr>
              <w:pStyle w:val="AttH-1H"/>
              <w:numPr>
                <w:ilvl w:val="0"/>
                <w:numId w:val="0"/>
              </w:numPr>
            </w:pPr>
            <w:r>
              <w:t>USBA Pro P/65 - USB Type-A (male - female) SuperSpeed 5 Gbps Optical Cable 65' (19.8</w:t>
            </w:r>
            <w:r w:rsidR="00D67CC3">
              <w:t xml:space="preserve"> </w:t>
            </w:r>
            <w:r>
              <w:t>m) – Plenum</w:t>
            </w:r>
          </w:p>
        </w:tc>
      </w:tr>
      <w:tr w:rsidR="00331D37" w14:paraId="3213AE24" w14:textId="77777777" w:rsidTr="00187A34">
        <w:trPr>
          <w:gridAfter w:val="1"/>
          <w:wAfter w:w="18" w:type="dxa"/>
        </w:trPr>
        <w:tc>
          <w:tcPr>
            <w:tcW w:w="715" w:type="dxa"/>
          </w:tcPr>
          <w:p w14:paraId="063425B6" w14:textId="2BA2E4CA" w:rsidR="00331D37" w:rsidRDefault="004F3F44" w:rsidP="00C51FC5">
            <w:pPr>
              <w:pStyle w:val="AttH-1H"/>
              <w:numPr>
                <w:ilvl w:val="0"/>
                <w:numId w:val="0"/>
              </w:numPr>
            </w:pPr>
            <w:r>
              <w:t>10</w:t>
            </w:r>
          </w:p>
        </w:tc>
        <w:tc>
          <w:tcPr>
            <w:tcW w:w="1710" w:type="dxa"/>
          </w:tcPr>
          <w:p w14:paraId="199775D6" w14:textId="254613BC" w:rsidR="00331D37" w:rsidRPr="00253CCD" w:rsidRDefault="004F3F44" w:rsidP="00C51FC5">
            <w:pPr>
              <w:pStyle w:val="AttH-1H"/>
              <w:numPr>
                <w:ilvl w:val="0"/>
                <w:numId w:val="0"/>
              </w:numPr>
            </w:pPr>
            <w:r w:rsidRPr="004F3F44">
              <w:t>Extron</w:t>
            </w:r>
          </w:p>
        </w:tc>
        <w:tc>
          <w:tcPr>
            <w:tcW w:w="540" w:type="dxa"/>
          </w:tcPr>
          <w:p w14:paraId="6290477D" w14:textId="0C6FD2FD" w:rsidR="00331D37" w:rsidRDefault="004F3F44" w:rsidP="00C51FC5">
            <w:pPr>
              <w:pStyle w:val="AttH-1H"/>
              <w:numPr>
                <w:ilvl w:val="0"/>
                <w:numId w:val="0"/>
              </w:numPr>
            </w:pPr>
            <w:r>
              <w:t>3</w:t>
            </w:r>
          </w:p>
        </w:tc>
        <w:tc>
          <w:tcPr>
            <w:tcW w:w="1800" w:type="dxa"/>
          </w:tcPr>
          <w:p w14:paraId="541381D1" w14:textId="1C91361E" w:rsidR="00331D37" w:rsidRPr="00331D37" w:rsidRDefault="004F3F44" w:rsidP="00C51FC5">
            <w:pPr>
              <w:pStyle w:val="AttH-1H"/>
              <w:numPr>
                <w:ilvl w:val="0"/>
                <w:numId w:val="0"/>
              </w:numPr>
            </w:pPr>
            <w:r w:rsidRPr="004F3F44">
              <w:t>CPI 51</w:t>
            </w:r>
          </w:p>
        </w:tc>
        <w:tc>
          <w:tcPr>
            <w:tcW w:w="3712" w:type="dxa"/>
          </w:tcPr>
          <w:p w14:paraId="0B680EFD" w14:textId="7E53F7BA" w:rsidR="00331D37" w:rsidRDefault="004F3F44" w:rsidP="00D67CC3">
            <w:pPr>
              <w:pStyle w:val="AttH-1H"/>
              <w:numPr>
                <w:ilvl w:val="0"/>
                <w:numId w:val="0"/>
              </w:numPr>
            </w:pPr>
            <w:r w:rsidRPr="004F3F44">
              <w:t>Cable Power Injector for Extron Active Cables</w:t>
            </w:r>
          </w:p>
        </w:tc>
      </w:tr>
      <w:tr w:rsidR="004F3F44" w14:paraId="314C35DF" w14:textId="77777777" w:rsidTr="00187A34">
        <w:trPr>
          <w:gridAfter w:val="1"/>
          <w:wAfter w:w="18" w:type="dxa"/>
        </w:trPr>
        <w:tc>
          <w:tcPr>
            <w:tcW w:w="715" w:type="dxa"/>
          </w:tcPr>
          <w:p w14:paraId="35EA9862" w14:textId="11BAB699" w:rsidR="004F3F44" w:rsidRDefault="00831ADF" w:rsidP="00C51FC5">
            <w:pPr>
              <w:pStyle w:val="AttH-1H"/>
              <w:numPr>
                <w:ilvl w:val="0"/>
                <w:numId w:val="0"/>
              </w:numPr>
            </w:pPr>
            <w:r>
              <w:t>11</w:t>
            </w:r>
          </w:p>
        </w:tc>
        <w:tc>
          <w:tcPr>
            <w:tcW w:w="1710" w:type="dxa"/>
          </w:tcPr>
          <w:p w14:paraId="03E4C3EB" w14:textId="7BB40341" w:rsidR="004F3F44" w:rsidRPr="004F3F44" w:rsidRDefault="00831ADF" w:rsidP="00C51FC5">
            <w:pPr>
              <w:pStyle w:val="AttH-1H"/>
              <w:numPr>
                <w:ilvl w:val="0"/>
                <w:numId w:val="0"/>
              </w:numPr>
            </w:pPr>
            <w:proofErr w:type="spellStart"/>
            <w:r w:rsidRPr="00831ADF">
              <w:t>Inogeni</w:t>
            </w:r>
            <w:proofErr w:type="spellEnd"/>
          </w:p>
        </w:tc>
        <w:tc>
          <w:tcPr>
            <w:tcW w:w="540" w:type="dxa"/>
          </w:tcPr>
          <w:p w14:paraId="7A3CB974" w14:textId="43EDC5AE" w:rsidR="004F3F44" w:rsidRDefault="00831ADF" w:rsidP="00C51FC5">
            <w:pPr>
              <w:pStyle w:val="AttH-1H"/>
              <w:numPr>
                <w:ilvl w:val="0"/>
                <w:numId w:val="0"/>
              </w:numPr>
            </w:pPr>
            <w:r>
              <w:t>1</w:t>
            </w:r>
          </w:p>
        </w:tc>
        <w:tc>
          <w:tcPr>
            <w:tcW w:w="1800" w:type="dxa"/>
          </w:tcPr>
          <w:p w14:paraId="06A381FE" w14:textId="6468B8A2" w:rsidR="004F3F44" w:rsidRPr="004F3F44" w:rsidRDefault="00831ADF" w:rsidP="00C51FC5">
            <w:pPr>
              <w:pStyle w:val="AttH-1H"/>
              <w:numPr>
                <w:ilvl w:val="0"/>
                <w:numId w:val="0"/>
              </w:numPr>
            </w:pPr>
            <w:r w:rsidRPr="00831ADF">
              <w:t>INO-4K2USB3</w:t>
            </w:r>
          </w:p>
        </w:tc>
        <w:tc>
          <w:tcPr>
            <w:tcW w:w="3712" w:type="dxa"/>
          </w:tcPr>
          <w:p w14:paraId="49BEA1A6" w14:textId="6CBE09F5" w:rsidR="004F3F44" w:rsidRPr="004F3F44" w:rsidRDefault="00CE7BEA" w:rsidP="00D67CC3">
            <w:pPr>
              <w:pStyle w:val="AttH-1H"/>
              <w:numPr>
                <w:ilvl w:val="0"/>
                <w:numId w:val="0"/>
              </w:numPr>
            </w:pPr>
            <w:r w:rsidRPr="00CE7BEA">
              <w:t>4K Ultra HD to USB 3.0 Converter</w:t>
            </w:r>
          </w:p>
        </w:tc>
      </w:tr>
      <w:tr w:rsidR="00CE7BEA" w14:paraId="26A2A1F7" w14:textId="77777777" w:rsidTr="00187A34">
        <w:trPr>
          <w:gridAfter w:val="1"/>
          <w:wAfter w:w="18" w:type="dxa"/>
        </w:trPr>
        <w:tc>
          <w:tcPr>
            <w:tcW w:w="715" w:type="dxa"/>
          </w:tcPr>
          <w:p w14:paraId="19A25941" w14:textId="502F2CBA" w:rsidR="00CE7BEA" w:rsidRDefault="00F8640D" w:rsidP="00C51FC5">
            <w:pPr>
              <w:pStyle w:val="AttH-1H"/>
              <w:numPr>
                <w:ilvl w:val="0"/>
                <w:numId w:val="0"/>
              </w:numPr>
            </w:pPr>
            <w:r>
              <w:t>12</w:t>
            </w:r>
          </w:p>
        </w:tc>
        <w:tc>
          <w:tcPr>
            <w:tcW w:w="1710" w:type="dxa"/>
          </w:tcPr>
          <w:p w14:paraId="0446C7D1" w14:textId="79EA8D9B" w:rsidR="00CE7BEA" w:rsidRPr="00831ADF" w:rsidRDefault="00640ACD" w:rsidP="00C51FC5">
            <w:pPr>
              <w:pStyle w:val="AttH-1H"/>
              <w:numPr>
                <w:ilvl w:val="0"/>
                <w:numId w:val="0"/>
              </w:numPr>
            </w:pPr>
            <w:proofErr w:type="spellStart"/>
            <w:r w:rsidRPr="00640ACD">
              <w:t>SimplyNUC</w:t>
            </w:r>
            <w:proofErr w:type="spellEnd"/>
          </w:p>
        </w:tc>
        <w:tc>
          <w:tcPr>
            <w:tcW w:w="540" w:type="dxa"/>
          </w:tcPr>
          <w:p w14:paraId="2A6C4F0E" w14:textId="364763B4" w:rsidR="00CE7BEA" w:rsidRDefault="00640ACD" w:rsidP="00C51FC5">
            <w:pPr>
              <w:pStyle w:val="AttH-1H"/>
              <w:numPr>
                <w:ilvl w:val="0"/>
                <w:numId w:val="0"/>
              </w:numPr>
            </w:pPr>
            <w:r>
              <w:t>1</w:t>
            </w:r>
          </w:p>
        </w:tc>
        <w:tc>
          <w:tcPr>
            <w:tcW w:w="1800" w:type="dxa"/>
          </w:tcPr>
          <w:p w14:paraId="1821936C" w14:textId="5C371048" w:rsidR="00CE7BEA" w:rsidRPr="00831ADF" w:rsidRDefault="00640ACD" w:rsidP="00C51FC5">
            <w:pPr>
              <w:pStyle w:val="AttH-1H"/>
              <w:numPr>
                <w:ilvl w:val="0"/>
                <w:numId w:val="0"/>
              </w:numPr>
            </w:pPr>
            <w:r w:rsidRPr="00640ACD">
              <w:t>802-0003-013</w:t>
            </w:r>
          </w:p>
        </w:tc>
        <w:tc>
          <w:tcPr>
            <w:tcW w:w="3712" w:type="dxa"/>
          </w:tcPr>
          <w:p w14:paraId="5B2146B6" w14:textId="065E3A70" w:rsidR="00CE7BEA" w:rsidRPr="00CE7BEA" w:rsidRDefault="00640ACD" w:rsidP="00EA6476">
            <w:pPr>
              <w:pStyle w:val="AttH-1H"/>
              <w:numPr>
                <w:ilvl w:val="0"/>
                <w:numId w:val="0"/>
              </w:numPr>
              <w:spacing w:after="160" w:line="259" w:lineRule="auto"/>
            </w:pPr>
            <w:r>
              <w:t>SUPPORT SERVICE, NUC 3-year at time of sale or within 30 days</w:t>
            </w:r>
          </w:p>
        </w:tc>
      </w:tr>
      <w:tr w:rsidR="00640ACD" w14:paraId="37527819" w14:textId="77777777" w:rsidTr="00187A34">
        <w:trPr>
          <w:gridAfter w:val="1"/>
          <w:wAfter w:w="18" w:type="dxa"/>
        </w:trPr>
        <w:tc>
          <w:tcPr>
            <w:tcW w:w="715" w:type="dxa"/>
            <w:tcBorders>
              <w:bottom w:val="single" w:sz="4" w:space="0" w:color="auto"/>
            </w:tcBorders>
          </w:tcPr>
          <w:p w14:paraId="2B5BF003" w14:textId="7A74A757" w:rsidR="00640ACD" w:rsidRDefault="00D05F18" w:rsidP="00C51FC5">
            <w:pPr>
              <w:pStyle w:val="AttH-1H"/>
              <w:numPr>
                <w:ilvl w:val="0"/>
                <w:numId w:val="0"/>
              </w:numPr>
            </w:pPr>
            <w:r>
              <w:t>13</w:t>
            </w:r>
          </w:p>
        </w:tc>
        <w:tc>
          <w:tcPr>
            <w:tcW w:w="1710" w:type="dxa"/>
            <w:tcBorders>
              <w:bottom w:val="single" w:sz="4" w:space="0" w:color="auto"/>
            </w:tcBorders>
          </w:tcPr>
          <w:p w14:paraId="01135D03" w14:textId="1875B28E" w:rsidR="00640ACD" w:rsidRPr="00640ACD" w:rsidRDefault="00D05F18" w:rsidP="00C51FC5">
            <w:pPr>
              <w:pStyle w:val="AttH-1H"/>
              <w:numPr>
                <w:ilvl w:val="0"/>
                <w:numId w:val="0"/>
              </w:numPr>
            </w:pPr>
            <w:proofErr w:type="spellStart"/>
            <w:r w:rsidRPr="00D05F18">
              <w:t>SimplyNUC</w:t>
            </w:r>
            <w:proofErr w:type="spellEnd"/>
          </w:p>
        </w:tc>
        <w:tc>
          <w:tcPr>
            <w:tcW w:w="540" w:type="dxa"/>
            <w:tcBorders>
              <w:bottom w:val="single" w:sz="4" w:space="0" w:color="auto"/>
            </w:tcBorders>
          </w:tcPr>
          <w:p w14:paraId="5EE3FF39" w14:textId="764FA0CA" w:rsidR="00640ACD" w:rsidRDefault="00D05F18" w:rsidP="00C51FC5">
            <w:pPr>
              <w:pStyle w:val="AttH-1H"/>
              <w:numPr>
                <w:ilvl w:val="0"/>
                <w:numId w:val="0"/>
              </w:numPr>
            </w:pPr>
            <w:r>
              <w:t>1</w:t>
            </w:r>
          </w:p>
        </w:tc>
        <w:tc>
          <w:tcPr>
            <w:tcW w:w="1800" w:type="dxa"/>
            <w:tcBorders>
              <w:bottom w:val="single" w:sz="4" w:space="0" w:color="auto"/>
            </w:tcBorders>
          </w:tcPr>
          <w:p w14:paraId="6BC32451" w14:textId="6DA8F95E" w:rsidR="00640ACD" w:rsidRPr="00640ACD" w:rsidRDefault="00D05F18" w:rsidP="00C51FC5">
            <w:pPr>
              <w:pStyle w:val="AttH-1H"/>
              <w:numPr>
                <w:ilvl w:val="0"/>
                <w:numId w:val="0"/>
              </w:numPr>
            </w:pPr>
            <w:r w:rsidRPr="00D05F18">
              <w:t>947-J00Z-001</w:t>
            </w:r>
          </w:p>
        </w:tc>
        <w:tc>
          <w:tcPr>
            <w:tcW w:w="3712" w:type="dxa"/>
            <w:tcBorders>
              <w:bottom w:val="single" w:sz="4" w:space="0" w:color="auto"/>
            </w:tcBorders>
          </w:tcPr>
          <w:p w14:paraId="38553156" w14:textId="2FF998A7" w:rsidR="00640ACD" w:rsidRDefault="00D05F18" w:rsidP="00EA6476">
            <w:pPr>
              <w:pStyle w:val="AttH-1H"/>
              <w:numPr>
                <w:ilvl w:val="0"/>
                <w:numId w:val="0"/>
              </w:numPr>
              <w:spacing w:after="160" w:line="259" w:lineRule="auto"/>
            </w:pPr>
            <w:r>
              <w:t>NUC11BTMi9, Beast Canyon, i9-11900KB, 32GB DDR4 Mem, 512GB PCIe Gen 3 2280 M.2 SSD, Simply NUC Logo, Windows 11 Pro</w:t>
            </w:r>
          </w:p>
        </w:tc>
      </w:tr>
      <w:tr w:rsidR="00421BA5" w14:paraId="10E26456" w14:textId="77777777" w:rsidTr="00090BB6">
        <w:tc>
          <w:tcPr>
            <w:tcW w:w="8495" w:type="dxa"/>
            <w:gridSpan w:val="6"/>
            <w:tcBorders>
              <w:bottom w:val="single" w:sz="4" w:space="0" w:color="auto"/>
            </w:tcBorders>
          </w:tcPr>
          <w:p w14:paraId="3BDFB9A9" w14:textId="1C65E650" w:rsidR="00421BA5" w:rsidRDefault="00421BA5" w:rsidP="009B68F7">
            <w:pPr>
              <w:pStyle w:val="AttH-1H"/>
              <w:numPr>
                <w:ilvl w:val="0"/>
                <w:numId w:val="0"/>
              </w:numPr>
            </w:pPr>
            <w:r w:rsidRPr="00B3631A">
              <w:rPr>
                <w:b/>
                <w:bCs/>
              </w:rPr>
              <w:t>AUDIO SYSTEM</w:t>
            </w:r>
          </w:p>
        </w:tc>
      </w:tr>
      <w:tr w:rsidR="00717A0B" w14:paraId="5E0B9BE3" w14:textId="77777777" w:rsidTr="00187A34">
        <w:trPr>
          <w:gridAfter w:val="1"/>
          <w:wAfter w:w="18" w:type="dxa"/>
        </w:trPr>
        <w:tc>
          <w:tcPr>
            <w:tcW w:w="715" w:type="dxa"/>
          </w:tcPr>
          <w:p w14:paraId="4E4D62C9" w14:textId="16EC680B" w:rsidR="00717A0B" w:rsidRDefault="009B68F7" w:rsidP="00C51FC5">
            <w:pPr>
              <w:pStyle w:val="AttH-1H"/>
              <w:numPr>
                <w:ilvl w:val="0"/>
                <w:numId w:val="0"/>
              </w:numPr>
            </w:pPr>
            <w:r>
              <w:t>14</w:t>
            </w:r>
          </w:p>
        </w:tc>
        <w:tc>
          <w:tcPr>
            <w:tcW w:w="1710" w:type="dxa"/>
          </w:tcPr>
          <w:p w14:paraId="09D39363" w14:textId="473ED355" w:rsidR="00717A0B" w:rsidRPr="00D05F18" w:rsidRDefault="009B68F7" w:rsidP="00C51FC5">
            <w:pPr>
              <w:pStyle w:val="AttH-1H"/>
              <w:numPr>
                <w:ilvl w:val="0"/>
                <w:numId w:val="0"/>
              </w:numPr>
            </w:pPr>
            <w:r w:rsidRPr="009B68F7">
              <w:t>Biamp Systems</w:t>
            </w:r>
          </w:p>
        </w:tc>
        <w:tc>
          <w:tcPr>
            <w:tcW w:w="540" w:type="dxa"/>
          </w:tcPr>
          <w:p w14:paraId="14C9F2B1" w14:textId="503E4044" w:rsidR="00717A0B" w:rsidRDefault="009B68F7" w:rsidP="00C51FC5">
            <w:pPr>
              <w:pStyle w:val="AttH-1H"/>
              <w:numPr>
                <w:ilvl w:val="0"/>
                <w:numId w:val="0"/>
              </w:numPr>
            </w:pPr>
            <w:r>
              <w:t>2</w:t>
            </w:r>
          </w:p>
        </w:tc>
        <w:tc>
          <w:tcPr>
            <w:tcW w:w="1800" w:type="dxa"/>
          </w:tcPr>
          <w:p w14:paraId="22702CD8" w14:textId="4DFABC82" w:rsidR="00717A0B" w:rsidRPr="00D05F18" w:rsidRDefault="00876C94" w:rsidP="00C51FC5">
            <w:pPr>
              <w:pStyle w:val="AttH-1H"/>
              <w:numPr>
                <w:ilvl w:val="0"/>
                <w:numId w:val="0"/>
              </w:numPr>
            </w:pPr>
            <w:r w:rsidRPr="00876C94">
              <w:t>AMP-A460H</w:t>
            </w:r>
          </w:p>
        </w:tc>
        <w:tc>
          <w:tcPr>
            <w:tcW w:w="3712" w:type="dxa"/>
          </w:tcPr>
          <w:p w14:paraId="44752B51" w14:textId="40C9F3D9" w:rsidR="00717A0B" w:rsidRDefault="00B4594E" w:rsidP="009B68F7">
            <w:pPr>
              <w:pStyle w:val="AttH-1H"/>
              <w:numPr>
                <w:ilvl w:val="0"/>
                <w:numId w:val="0"/>
              </w:numPr>
            </w:pPr>
            <w:r w:rsidRPr="00B4594E">
              <w:t>4 channel, 60W half-rack amplifier with mounting bracket</w:t>
            </w:r>
          </w:p>
        </w:tc>
      </w:tr>
      <w:tr w:rsidR="00717A0B" w14:paraId="311A37E7" w14:textId="77777777" w:rsidTr="00187A34">
        <w:trPr>
          <w:gridAfter w:val="1"/>
          <w:wAfter w:w="18" w:type="dxa"/>
        </w:trPr>
        <w:tc>
          <w:tcPr>
            <w:tcW w:w="715" w:type="dxa"/>
          </w:tcPr>
          <w:p w14:paraId="454B4269" w14:textId="7C24B6CA" w:rsidR="00717A0B" w:rsidRDefault="00B4594E" w:rsidP="00C51FC5">
            <w:pPr>
              <w:pStyle w:val="AttH-1H"/>
              <w:numPr>
                <w:ilvl w:val="0"/>
                <w:numId w:val="0"/>
              </w:numPr>
            </w:pPr>
            <w:r>
              <w:lastRenderedPageBreak/>
              <w:t>15</w:t>
            </w:r>
          </w:p>
        </w:tc>
        <w:tc>
          <w:tcPr>
            <w:tcW w:w="1710" w:type="dxa"/>
          </w:tcPr>
          <w:p w14:paraId="733F96CD" w14:textId="41C354D4" w:rsidR="00717A0B" w:rsidRPr="00D05F18" w:rsidRDefault="00B4594E" w:rsidP="00C51FC5">
            <w:pPr>
              <w:pStyle w:val="AttH-1H"/>
              <w:numPr>
                <w:ilvl w:val="0"/>
                <w:numId w:val="0"/>
              </w:numPr>
            </w:pPr>
            <w:r w:rsidRPr="009B68F7">
              <w:t>Biamp Systems</w:t>
            </w:r>
          </w:p>
        </w:tc>
        <w:tc>
          <w:tcPr>
            <w:tcW w:w="540" w:type="dxa"/>
          </w:tcPr>
          <w:p w14:paraId="69891C73" w14:textId="1BF32BD9" w:rsidR="00717A0B" w:rsidRDefault="00B4594E" w:rsidP="00C51FC5">
            <w:pPr>
              <w:pStyle w:val="AttH-1H"/>
              <w:numPr>
                <w:ilvl w:val="0"/>
                <w:numId w:val="0"/>
              </w:numPr>
            </w:pPr>
            <w:r>
              <w:t>16</w:t>
            </w:r>
          </w:p>
        </w:tc>
        <w:tc>
          <w:tcPr>
            <w:tcW w:w="1800" w:type="dxa"/>
          </w:tcPr>
          <w:p w14:paraId="4C1549DC" w14:textId="2B115FD6" w:rsidR="00717A0B" w:rsidRPr="00D05F18" w:rsidRDefault="00B4594E" w:rsidP="00C51FC5">
            <w:pPr>
              <w:pStyle w:val="AttH-1H"/>
              <w:numPr>
                <w:ilvl w:val="0"/>
                <w:numId w:val="0"/>
              </w:numPr>
            </w:pPr>
            <w:proofErr w:type="spellStart"/>
            <w:r w:rsidRPr="00B4594E">
              <w:t>Desono</w:t>
            </w:r>
            <w:proofErr w:type="spellEnd"/>
            <w:r w:rsidRPr="00B4594E">
              <w:t xml:space="preserve"> P6 Black</w:t>
            </w:r>
          </w:p>
        </w:tc>
        <w:tc>
          <w:tcPr>
            <w:tcW w:w="3712" w:type="dxa"/>
          </w:tcPr>
          <w:p w14:paraId="67BF4DD8" w14:textId="6F110453" w:rsidR="00717A0B" w:rsidRDefault="000A486B" w:rsidP="007C118F">
            <w:pPr>
              <w:pStyle w:val="AttH-1H"/>
              <w:numPr>
                <w:ilvl w:val="0"/>
                <w:numId w:val="0"/>
              </w:numPr>
            </w:pPr>
            <w:r>
              <w:t>Pendant, Indoor/Outdoor 6.5" Coaxial Loudspeaker, Raindrop Profile, Black (priced</w:t>
            </w:r>
            <w:r w:rsidR="007C118F">
              <w:t xml:space="preserve"> </w:t>
            </w:r>
            <w:r>
              <w:t>individually, but sold in pairs)</w:t>
            </w:r>
          </w:p>
        </w:tc>
      </w:tr>
      <w:tr w:rsidR="00717A0B" w14:paraId="15F5946F" w14:textId="77777777" w:rsidTr="00187A34">
        <w:trPr>
          <w:gridAfter w:val="1"/>
          <w:wAfter w:w="18" w:type="dxa"/>
        </w:trPr>
        <w:tc>
          <w:tcPr>
            <w:tcW w:w="715" w:type="dxa"/>
          </w:tcPr>
          <w:p w14:paraId="209F168E" w14:textId="0573037C" w:rsidR="00717A0B" w:rsidRDefault="000A486B" w:rsidP="00C51FC5">
            <w:pPr>
              <w:pStyle w:val="AttH-1H"/>
              <w:numPr>
                <w:ilvl w:val="0"/>
                <w:numId w:val="0"/>
              </w:numPr>
            </w:pPr>
            <w:r>
              <w:t>16</w:t>
            </w:r>
          </w:p>
        </w:tc>
        <w:tc>
          <w:tcPr>
            <w:tcW w:w="1710" w:type="dxa"/>
          </w:tcPr>
          <w:p w14:paraId="12310B1F" w14:textId="07C96852" w:rsidR="00717A0B" w:rsidRPr="00D05F18" w:rsidRDefault="000A486B" w:rsidP="00C51FC5">
            <w:pPr>
              <w:pStyle w:val="AttH-1H"/>
              <w:numPr>
                <w:ilvl w:val="0"/>
                <w:numId w:val="0"/>
              </w:numPr>
            </w:pPr>
            <w:r w:rsidRPr="009B68F7">
              <w:t>Biamp Systems</w:t>
            </w:r>
          </w:p>
        </w:tc>
        <w:tc>
          <w:tcPr>
            <w:tcW w:w="540" w:type="dxa"/>
          </w:tcPr>
          <w:p w14:paraId="7E846D50" w14:textId="54B3CA36" w:rsidR="00717A0B" w:rsidRDefault="000A486B" w:rsidP="00C51FC5">
            <w:pPr>
              <w:pStyle w:val="AttH-1H"/>
              <w:numPr>
                <w:ilvl w:val="0"/>
                <w:numId w:val="0"/>
              </w:numPr>
            </w:pPr>
            <w:r>
              <w:t>1</w:t>
            </w:r>
          </w:p>
        </w:tc>
        <w:tc>
          <w:tcPr>
            <w:tcW w:w="1800" w:type="dxa"/>
          </w:tcPr>
          <w:p w14:paraId="39629A16" w14:textId="50D8D2FF" w:rsidR="00717A0B" w:rsidRPr="00D05F18" w:rsidRDefault="00EA6476" w:rsidP="00C51FC5">
            <w:pPr>
              <w:pStyle w:val="AttH-1H"/>
              <w:numPr>
                <w:ilvl w:val="0"/>
                <w:numId w:val="0"/>
              </w:numPr>
            </w:pPr>
            <w:proofErr w:type="spellStart"/>
            <w:r w:rsidRPr="00EA6476">
              <w:t>TesiraFORTE</w:t>
            </w:r>
            <w:proofErr w:type="spellEnd"/>
            <w:r w:rsidRPr="00EA6476">
              <w:t xml:space="preserve"> DAN CI</w:t>
            </w:r>
          </w:p>
        </w:tc>
        <w:tc>
          <w:tcPr>
            <w:tcW w:w="3712" w:type="dxa"/>
          </w:tcPr>
          <w:p w14:paraId="16BE19EF" w14:textId="376F4140" w:rsidR="00717A0B" w:rsidRDefault="00EA6476" w:rsidP="007C118F">
            <w:pPr>
              <w:pStyle w:val="AttH-1H"/>
              <w:numPr>
                <w:ilvl w:val="0"/>
                <w:numId w:val="0"/>
              </w:numPr>
            </w:pPr>
            <w:r>
              <w:t>Fixed I/O DSP with 12 analog inputs, 8 analog outputs, 8 channels configurable USB</w:t>
            </w:r>
            <w:r w:rsidR="007C118F">
              <w:t xml:space="preserve"> </w:t>
            </w:r>
            <w:r>
              <w:t>audio, 32 x 32 channels of Dante, and AEC technology (all 12 inputs)</w:t>
            </w:r>
          </w:p>
        </w:tc>
      </w:tr>
      <w:tr w:rsidR="00EA6476" w14:paraId="3B0BBD8A" w14:textId="77777777" w:rsidTr="00187A34">
        <w:trPr>
          <w:gridAfter w:val="1"/>
          <w:wAfter w:w="18" w:type="dxa"/>
        </w:trPr>
        <w:tc>
          <w:tcPr>
            <w:tcW w:w="715" w:type="dxa"/>
          </w:tcPr>
          <w:p w14:paraId="61F3C36D" w14:textId="04FDB31E" w:rsidR="00EA6476" w:rsidRDefault="00343E39" w:rsidP="00C51FC5">
            <w:pPr>
              <w:pStyle w:val="AttH-1H"/>
              <w:numPr>
                <w:ilvl w:val="0"/>
                <w:numId w:val="0"/>
              </w:numPr>
            </w:pPr>
            <w:r>
              <w:t>17</w:t>
            </w:r>
          </w:p>
        </w:tc>
        <w:tc>
          <w:tcPr>
            <w:tcW w:w="1710" w:type="dxa"/>
          </w:tcPr>
          <w:p w14:paraId="5F9D18CB" w14:textId="03A95697" w:rsidR="00EA6476" w:rsidRPr="009B68F7" w:rsidRDefault="00343E39" w:rsidP="00C51FC5">
            <w:pPr>
              <w:pStyle w:val="AttH-1H"/>
              <w:numPr>
                <w:ilvl w:val="0"/>
                <w:numId w:val="0"/>
              </w:numPr>
            </w:pPr>
            <w:r w:rsidRPr="00343E39">
              <w:t>Listen</w:t>
            </w:r>
          </w:p>
        </w:tc>
        <w:tc>
          <w:tcPr>
            <w:tcW w:w="540" w:type="dxa"/>
          </w:tcPr>
          <w:p w14:paraId="28CD08AD" w14:textId="126B9315" w:rsidR="00EA6476" w:rsidRDefault="00343E39" w:rsidP="00C51FC5">
            <w:pPr>
              <w:pStyle w:val="AttH-1H"/>
              <w:numPr>
                <w:ilvl w:val="0"/>
                <w:numId w:val="0"/>
              </w:numPr>
            </w:pPr>
            <w:r>
              <w:t>1</w:t>
            </w:r>
          </w:p>
        </w:tc>
        <w:tc>
          <w:tcPr>
            <w:tcW w:w="1800" w:type="dxa"/>
          </w:tcPr>
          <w:p w14:paraId="5CD2A206" w14:textId="68A3CE23" w:rsidR="00EA6476" w:rsidRPr="00EA6476" w:rsidRDefault="00343E39" w:rsidP="00C51FC5">
            <w:pPr>
              <w:pStyle w:val="AttH-1H"/>
              <w:numPr>
                <w:ilvl w:val="0"/>
                <w:numId w:val="0"/>
              </w:numPr>
            </w:pPr>
            <w:r w:rsidRPr="00343E39">
              <w:t>LS-31-072</w:t>
            </w:r>
          </w:p>
        </w:tc>
        <w:tc>
          <w:tcPr>
            <w:tcW w:w="3712" w:type="dxa"/>
          </w:tcPr>
          <w:p w14:paraId="179E9D78" w14:textId="1C7354B7" w:rsidR="00EA6476" w:rsidRDefault="00343E39" w:rsidP="00EA6476">
            <w:pPr>
              <w:pStyle w:val="AttH-1H"/>
              <w:numPr>
                <w:ilvl w:val="0"/>
                <w:numId w:val="0"/>
              </w:numPr>
            </w:pPr>
            <w:r w:rsidRPr="00343E39">
              <w:t xml:space="preserve">Listen </w:t>
            </w:r>
            <w:proofErr w:type="spellStart"/>
            <w:r w:rsidRPr="00343E39">
              <w:t>iDSP</w:t>
            </w:r>
            <w:proofErr w:type="spellEnd"/>
            <w:r w:rsidRPr="00343E39">
              <w:t xml:space="preserve"> Essentials Level 2 Stationary RF System (72 MHz)</w:t>
            </w:r>
          </w:p>
        </w:tc>
      </w:tr>
      <w:tr w:rsidR="00343E39" w14:paraId="0B40DB3E" w14:textId="77777777" w:rsidTr="00187A34">
        <w:trPr>
          <w:gridAfter w:val="1"/>
          <w:wAfter w:w="18" w:type="dxa"/>
        </w:trPr>
        <w:tc>
          <w:tcPr>
            <w:tcW w:w="715" w:type="dxa"/>
          </w:tcPr>
          <w:p w14:paraId="2583733A" w14:textId="50875F9F" w:rsidR="00343E39" w:rsidRDefault="00343E39" w:rsidP="00C51FC5">
            <w:pPr>
              <w:pStyle w:val="AttH-1H"/>
              <w:numPr>
                <w:ilvl w:val="0"/>
                <w:numId w:val="0"/>
              </w:numPr>
            </w:pPr>
            <w:r>
              <w:t>18</w:t>
            </w:r>
          </w:p>
        </w:tc>
        <w:tc>
          <w:tcPr>
            <w:tcW w:w="1710" w:type="dxa"/>
          </w:tcPr>
          <w:p w14:paraId="3EE83690" w14:textId="5908F99F" w:rsidR="00343E39" w:rsidRPr="00343E39" w:rsidRDefault="00343E39" w:rsidP="00C51FC5">
            <w:pPr>
              <w:pStyle w:val="AttH-1H"/>
              <w:numPr>
                <w:ilvl w:val="0"/>
                <w:numId w:val="0"/>
              </w:numPr>
            </w:pPr>
            <w:r w:rsidRPr="00343E39">
              <w:t>RDL</w:t>
            </w:r>
          </w:p>
        </w:tc>
        <w:tc>
          <w:tcPr>
            <w:tcW w:w="540" w:type="dxa"/>
          </w:tcPr>
          <w:p w14:paraId="6D81F885" w14:textId="485D3076" w:rsidR="00343E39" w:rsidRDefault="00343E39" w:rsidP="00C51FC5">
            <w:pPr>
              <w:pStyle w:val="AttH-1H"/>
              <w:numPr>
                <w:ilvl w:val="0"/>
                <w:numId w:val="0"/>
              </w:numPr>
            </w:pPr>
            <w:r>
              <w:t>1</w:t>
            </w:r>
          </w:p>
        </w:tc>
        <w:tc>
          <w:tcPr>
            <w:tcW w:w="1800" w:type="dxa"/>
          </w:tcPr>
          <w:p w14:paraId="2E27E7B9" w14:textId="7BD7B8EC" w:rsidR="00343E39" w:rsidRPr="00343E39" w:rsidRDefault="00992CF3" w:rsidP="00C51FC5">
            <w:pPr>
              <w:pStyle w:val="AttH-1H"/>
              <w:numPr>
                <w:ilvl w:val="0"/>
                <w:numId w:val="0"/>
              </w:numPr>
            </w:pPr>
            <w:r w:rsidRPr="00992CF3">
              <w:t>TX-J2</w:t>
            </w:r>
          </w:p>
        </w:tc>
        <w:tc>
          <w:tcPr>
            <w:tcW w:w="3712" w:type="dxa"/>
          </w:tcPr>
          <w:p w14:paraId="4BF18324" w14:textId="6CB7E05D" w:rsidR="00343E39" w:rsidRPr="00343E39" w:rsidRDefault="00992CF3" w:rsidP="00EA6476">
            <w:pPr>
              <w:pStyle w:val="AttH-1H"/>
              <w:numPr>
                <w:ilvl w:val="0"/>
                <w:numId w:val="0"/>
              </w:numPr>
            </w:pPr>
            <w:r w:rsidRPr="00992CF3">
              <w:t>Unbalanced Input Transformer</w:t>
            </w:r>
          </w:p>
        </w:tc>
      </w:tr>
      <w:tr w:rsidR="00992CF3" w14:paraId="62A543F1" w14:textId="77777777" w:rsidTr="00187A34">
        <w:trPr>
          <w:gridAfter w:val="1"/>
          <w:wAfter w:w="18" w:type="dxa"/>
        </w:trPr>
        <w:tc>
          <w:tcPr>
            <w:tcW w:w="715" w:type="dxa"/>
          </w:tcPr>
          <w:p w14:paraId="6CC21858" w14:textId="34076128" w:rsidR="00992CF3" w:rsidRDefault="00992CF3" w:rsidP="00C51FC5">
            <w:pPr>
              <w:pStyle w:val="AttH-1H"/>
              <w:numPr>
                <w:ilvl w:val="0"/>
                <w:numId w:val="0"/>
              </w:numPr>
            </w:pPr>
            <w:r>
              <w:t>19</w:t>
            </w:r>
          </w:p>
        </w:tc>
        <w:tc>
          <w:tcPr>
            <w:tcW w:w="1710" w:type="dxa"/>
          </w:tcPr>
          <w:p w14:paraId="6D2CE7CB" w14:textId="0C699D0E" w:rsidR="00992CF3" w:rsidRPr="00343E39" w:rsidRDefault="00EF3904" w:rsidP="00C51FC5">
            <w:pPr>
              <w:pStyle w:val="AttH-1H"/>
              <w:numPr>
                <w:ilvl w:val="0"/>
                <w:numId w:val="0"/>
              </w:numPr>
            </w:pPr>
            <w:r w:rsidRPr="00EF3904">
              <w:t>Sennheiser</w:t>
            </w:r>
          </w:p>
        </w:tc>
        <w:tc>
          <w:tcPr>
            <w:tcW w:w="540" w:type="dxa"/>
          </w:tcPr>
          <w:p w14:paraId="6EC55273" w14:textId="7BB131B7" w:rsidR="00992CF3" w:rsidRDefault="00EF3904" w:rsidP="00C51FC5">
            <w:pPr>
              <w:pStyle w:val="AttH-1H"/>
              <w:numPr>
                <w:ilvl w:val="0"/>
                <w:numId w:val="0"/>
              </w:numPr>
            </w:pPr>
            <w:r>
              <w:t>12</w:t>
            </w:r>
          </w:p>
        </w:tc>
        <w:tc>
          <w:tcPr>
            <w:tcW w:w="1800" w:type="dxa"/>
          </w:tcPr>
          <w:p w14:paraId="22F901C9" w14:textId="667DFF93" w:rsidR="00992CF3" w:rsidRPr="00992CF3" w:rsidRDefault="00EF3904" w:rsidP="00C51FC5">
            <w:pPr>
              <w:pStyle w:val="AttH-1H"/>
              <w:numPr>
                <w:ilvl w:val="0"/>
                <w:numId w:val="0"/>
              </w:numPr>
            </w:pPr>
            <w:r w:rsidRPr="00EF3904">
              <w:t>506398</w:t>
            </w:r>
          </w:p>
        </w:tc>
        <w:tc>
          <w:tcPr>
            <w:tcW w:w="3712" w:type="dxa"/>
          </w:tcPr>
          <w:p w14:paraId="45C6472C" w14:textId="12EFEF16" w:rsidR="00992CF3" w:rsidRPr="00992CF3" w:rsidRDefault="00EF3904" w:rsidP="007C118F">
            <w:pPr>
              <w:pStyle w:val="AttH-1H"/>
              <w:numPr>
                <w:ilvl w:val="0"/>
                <w:numId w:val="0"/>
              </w:numPr>
            </w:pPr>
            <w:r>
              <w:t>MEG 14-40-L-II B - Gooseneck microphone (cardioid, condenser) with 5-pin XLR-M, 12-48V phantom power and illuminated light ring. MAT 153-S table stand available separately</w:t>
            </w:r>
          </w:p>
        </w:tc>
      </w:tr>
      <w:tr w:rsidR="00EF3904" w14:paraId="77607AEB" w14:textId="77777777" w:rsidTr="00187A34">
        <w:trPr>
          <w:gridAfter w:val="1"/>
          <w:wAfter w:w="18" w:type="dxa"/>
        </w:trPr>
        <w:tc>
          <w:tcPr>
            <w:tcW w:w="715" w:type="dxa"/>
          </w:tcPr>
          <w:p w14:paraId="4485DF0D" w14:textId="1B6F6316" w:rsidR="00EF3904" w:rsidRDefault="00EF3904" w:rsidP="00C51FC5">
            <w:pPr>
              <w:pStyle w:val="AttH-1H"/>
              <w:numPr>
                <w:ilvl w:val="0"/>
                <w:numId w:val="0"/>
              </w:numPr>
            </w:pPr>
            <w:r>
              <w:t>20</w:t>
            </w:r>
          </w:p>
        </w:tc>
        <w:tc>
          <w:tcPr>
            <w:tcW w:w="1710" w:type="dxa"/>
          </w:tcPr>
          <w:p w14:paraId="5ECADA0D" w14:textId="442D0480" w:rsidR="00EF3904" w:rsidRPr="00EF3904" w:rsidRDefault="005652E1" w:rsidP="00C51FC5">
            <w:pPr>
              <w:pStyle w:val="AttH-1H"/>
              <w:numPr>
                <w:ilvl w:val="0"/>
                <w:numId w:val="0"/>
              </w:numPr>
            </w:pPr>
            <w:r w:rsidRPr="00EF3904">
              <w:t>Sennheiser</w:t>
            </w:r>
          </w:p>
        </w:tc>
        <w:tc>
          <w:tcPr>
            <w:tcW w:w="540" w:type="dxa"/>
          </w:tcPr>
          <w:p w14:paraId="271C06E1" w14:textId="788BEC81" w:rsidR="00EF3904" w:rsidRDefault="005652E1" w:rsidP="00C51FC5">
            <w:pPr>
              <w:pStyle w:val="AttH-1H"/>
              <w:numPr>
                <w:ilvl w:val="0"/>
                <w:numId w:val="0"/>
              </w:numPr>
            </w:pPr>
            <w:r>
              <w:t>12</w:t>
            </w:r>
          </w:p>
        </w:tc>
        <w:tc>
          <w:tcPr>
            <w:tcW w:w="1800" w:type="dxa"/>
          </w:tcPr>
          <w:p w14:paraId="7940BDA0" w14:textId="656BEECB" w:rsidR="00EF3904" w:rsidRPr="00EF3904" w:rsidRDefault="005652E1" w:rsidP="00C51FC5">
            <w:pPr>
              <w:pStyle w:val="AttH-1H"/>
              <w:numPr>
                <w:ilvl w:val="0"/>
                <w:numId w:val="0"/>
              </w:numPr>
            </w:pPr>
            <w:r w:rsidRPr="005652E1">
              <w:t>506628</w:t>
            </w:r>
          </w:p>
        </w:tc>
        <w:tc>
          <w:tcPr>
            <w:tcW w:w="3712" w:type="dxa"/>
          </w:tcPr>
          <w:p w14:paraId="43B7A5CD" w14:textId="02E89C76" w:rsidR="00EF3904" w:rsidRDefault="005652E1" w:rsidP="007C118F">
            <w:pPr>
              <w:pStyle w:val="AttH-1H"/>
              <w:numPr>
                <w:ilvl w:val="0"/>
                <w:numId w:val="0"/>
              </w:numPr>
            </w:pPr>
            <w:r>
              <w:t xml:space="preserve">Wireless table </w:t>
            </w:r>
            <w:proofErr w:type="gramStart"/>
            <w:r>
              <w:t>stand</w:t>
            </w:r>
            <w:proofErr w:type="gramEnd"/>
            <w:r>
              <w:t>. Compatible with the MEG 14-40-L-II B gooseneck microphone.</w:t>
            </w:r>
            <w:r w:rsidR="007C118F">
              <w:t xml:space="preserve"> </w:t>
            </w:r>
            <w:r>
              <w:t>Includes (1) BA 40 rechargeable battery</w:t>
            </w:r>
          </w:p>
        </w:tc>
      </w:tr>
      <w:tr w:rsidR="005652E1" w14:paraId="210B97AC" w14:textId="77777777" w:rsidTr="00187A34">
        <w:trPr>
          <w:gridAfter w:val="1"/>
          <w:wAfter w:w="18" w:type="dxa"/>
        </w:trPr>
        <w:tc>
          <w:tcPr>
            <w:tcW w:w="715" w:type="dxa"/>
          </w:tcPr>
          <w:p w14:paraId="60B90284" w14:textId="5BA445C6" w:rsidR="005652E1" w:rsidRDefault="005652E1" w:rsidP="00C51FC5">
            <w:pPr>
              <w:pStyle w:val="AttH-1H"/>
              <w:numPr>
                <w:ilvl w:val="0"/>
                <w:numId w:val="0"/>
              </w:numPr>
            </w:pPr>
            <w:r>
              <w:t>21</w:t>
            </w:r>
          </w:p>
        </w:tc>
        <w:tc>
          <w:tcPr>
            <w:tcW w:w="1710" w:type="dxa"/>
          </w:tcPr>
          <w:p w14:paraId="34A266CF" w14:textId="5C1518AE" w:rsidR="005652E1" w:rsidRPr="00EF3904" w:rsidRDefault="005652E1" w:rsidP="00C51FC5">
            <w:pPr>
              <w:pStyle w:val="AttH-1H"/>
              <w:numPr>
                <w:ilvl w:val="0"/>
                <w:numId w:val="0"/>
              </w:numPr>
            </w:pPr>
            <w:r w:rsidRPr="00EF3904">
              <w:t>Sennheiser</w:t>
            </w:r>
          </w:p>
        </w:tc>
        <w:tc>
          <w:tcPr>
            <w:tcW w:w="540" w:type="dxa"/>
          </w:tcPr>
          <w:p w14:paraId="554ED968" w14:textId="3060BE01" w:rsidR="005652E1" w:rsidRDefault="005652E1" w:rsidP="00C51FC5">
            <w:pPr>
              <w:pStyle w:val="AttH-1H"/>
              <w:numPr>
                <w:ilvl w:val="0"/>
                <w:numId w:val="0"/>
              </w:numPr>
            </w:pPr>
            <w:r>
              <w:t>6</w:t>
            </w:r>
          </w:p>
        </w:tc>
        <w:tc>
          <w:tcPr>
            <w:tcW w:w="1800" w:type="dxa"/>
          </w:tcPr>
          <w:p w14:paraId="4CF74C30" w14:textId="6BA689C8" w:rsidR="005652E1" w:rsidRPr="005652E1" w:rsidRDefault="007B025C" w:rsidP="00C51FC5">
            <w:pPr>
              <w:pStyle w:val="AttH-1H"/>
              <w:numPr>
                <w:ilvl w:val="0"/>
                <w:numId w:val="0"/>
              </w:numPr>
            </w:pPr>
            <w:r w:rsidRPr="007B025C">
              <w:t>506805</w:t>
            </w:r>
          </w:p>
        </w:tc>
        <w:tc>
          <w:tcPr>
            <w:tcW w:w="3712" w:type="dxa"/>
          </w:tcPr>
          <w:p w14:paraId="4632AC5F" w14:textId="28C63A2D" w:rsidR="005652E1" w:rsidRDefault="007B025C" w:rsidP="007C118F">
            <w:pPr>
              <w:pStyle w:val="AttH-1H"/>
              <w:numPr>
                <w:ilvl w:val="0"/>
                <w:numId w:val="0"/>
              </w:numPr>
            </w:pPr>
            <w:r>
              <w:t>2-compartment charger for SL TABLESTAND and interfaces, inductive, Qi standard,</w:t>
            </w:r>
            <w:r w:rsidR="007C118F">
              <w:t xml:space="preserve"> </w:t>
            </w:r>
            <w:r>
              <w:t>including power supply</w:t>
            </w:r>
          </w:p>
        </w:tc>
      </w:tr>
      <w:tr w:rsidR="007B025C" w14:paraId="016559FC" w14:textId="77777777" w:rsidTr="00187A34">
        <w:trPr>
          <w:gridAfter w:val="1"/>
          <w:wAfter w:w="18" w:type="dxa"/>
        </w:trPr>
        <w:tc>
          <w:tcPr>
            <w:tcW w:w="715" w:type="dxa"/>
            <w:tcBorders>
              <w:bottom w:val="single" w:sz="4" w:space="0" w:color="auto"/>
            </w:tcBorders>
          </w:tcPr>
          <w:p w14:paraId="5EC082CD" w14:textId="4DC4C34C" w:rsidR="007B025C" w:rsidRDefault="007B025C" w:rsidP="00C51FC5">
            <w:pPr>
              <w:pStyle w:val="AttH-1H"/>
              <w:numPr>
                <w:ilvl w:val="0"/>
                <w:numId w:val="0"/>
              </w:numPr>
            </w:pPr>
            <w:r>
              <w:t>22</w:t>
            </w:r>
          </w:p>
        </w:tc>
        <w:tc>
          <w:tcPr>
            <w:tcW w:w="1710" w:type="dxa"/>
            <w:tcBorders>
              <w:bottom w:val="single" w:sz="4" w:space="0" w:color="auto"/>
            </w:tcBorders>
          </w:tcPr>
          <w:p w14:paraId="1A66E723" w14:textId="5F863DDB" w:rsidR="007B025C" w:rsidRPr="00EF3904" w:rsidRDefault="007B025C" w:rsidP="00C51FC5">
            <w:pPr>
              <w:pStyle w:val="AttH-1H"/>
              <w:numPr>
                <w:ilvl w:val="0"/>
                <w:numId w:val="0"/>
              </w:numPr>
            </w:pPr>
            <w:r w:rsidRPr="00EF3904">
              <w:t>Sennheiser</w:t>
            </w:r>
          </w:p>
        </w:tc>
        <w:tc>
          <w:tcPr>
            <w:tcW w:w="540" w:type="dxa"/>
            <w:tcBorders>
              <w:bottom w:val="single" w:sz="4" w:space="0" w:color="auto"/>
            </w:tcBorders>
          </w:tcPr>
          <w:p w14:paraId="78BDFC6F" w14:textId="500E43EE" w:rsidR="007B025C" w:rsidRDefault="003B1AF1" w:rsidP="00C51FC5">
            <w:pPr>
              <w:pStyle w:val="AttH-1H"/>
              <w:numPr>
                <w:ilvl w:val="0"/>
                <w:numId w:val="0"/>
              </w:numPr>
            </w:pPr>
            <w:r>
              <w:t>3</w:t>
            </w:r>
          </w:p>
        </w:tc>
        <w:tc>
          <w:tcPr>
            <w:tcW w:w="1800" w:type="dxa"/>
            <w:tcBorders>
              <w:bottom w:val="single" w:sz="4" w:space="0" w:color="auto"/>
            </w:tcBorders>
          </w:tcPr>
          <w:p w14:paraId="2B8A1C8C" w14:textId="6FC5F12F" w:rsidR="007B025C" w:rsidRPr="007B025C" w:rsidRDefault="003B1AF1" w:rsidP="00C51FC5">
            <w:pPr>
              <w:pStyle w:val="AttH-1H"/>
              <w:numPr>
                <w:ilvl w:val="0"/>
                <w:numId w:val="0"/>
              </w:numPr>
            </w:pPr>
            <w:r w:rsidRPr="003B1AF1">
              <w:t>508855</w:t>
            </w:r>
          </w:p>
        </w:tc>
        <w:tc>
          <w:tcPr>
            <w:tcW w:w="3712" w:type="dxa"/>
            <w:tcBorders>
              <w:bottom w:val="single" w:sz="4" w:space="0" w:color="auto"/>
            </w:tcBorders>
          </w:tcPr>
          <w:p w14:paraId="6C75E1D3" w14:textId="16E62A95" w:rsidR="007B025C" w:rsidRDefault="003B1AF1" w:rsidP="007C118F">
            <w:pPr>
              <w:pStyle w:val="AttH-1H"/>
              <w:numPr>
                <w:ilvl w:val="0"/>
                <w:numId w:val="0"/>
              </w:numPr>
            </w:pPr>
            <w:r>
              <w:t xml:space="preserve">SL MCR 4 DW-4 - </w:t>
            </w:r>
            <w:proofErr w:type="spellStart"/>
            <w:r>
              <w:t>SpeechLine</w:t>
            </w:r>
            <w:proofErr w:type="spellEnd"/>
            <w:r>
              <w:t xml:space="preserve"> Multi-Channel Receiver with 4 SL DW RF Links. Features</w:t>
            </w:r>
            <w:r w:rsidR="007C118F">
              <w:t xml:space="preserve"> </w:t>
            </w:r>
            <w:r>
              <w:t>Analog output with (2) Dante Interfaces and PoE power supply</w:t>
            </w:r>
          </w:p>
        </w:tc>
      </w:tr>
      <w:tr w:rsidR="00D30E89" w14:paraId="59A23AFC" w14:textId="77777777" w:rsidTr="00090BB6">
        <w:tc>
          <w:tcPr>
            <w:tcW w:w="8495" w:type="dxa"/>
            <w:gridSpan w:val="6"/>
          </w:tcPr>
          <w:p w14:paraId="7815065E" w14:textId="79130B10" w:rsidR="00D30E89" w:rsidRDefault="00D30E89" w:rsidP="003B1AF1">
            <w:pPr>
              <w:pStyle w:val="AttH-1H"/>
              <w:numPr>
                <w:ilvl w:val="0"/>
                <w:numId w:val="0"/>
              </w:numPr>
            </w:pPr>
            <w:r w:rsidRPr="00D30E89">
              <w:rPr>
                <w:b/>
                <w:bCs/>
              </w:rPr>
              <w:t>AV ROUTING</w:t>
            </w:r>
          </w:p>
        </w:tc>
      </w:tr>
      <w:tr w:rsidR="003B1AF1" w14:paraId="7E962CB5" w14:textId="77777777" w:rsidTr="00187A34">
        <w:trPr>
          <w:gridAfter w:val="1"/>
          <w:wAfter w:w="18" w:type="dxa"/>
        </w:trPr>
        <w:tc>
          <w:tcPr>
            <w:tcW w:w="715" w:type="dxa"/>
          </w:tcPr>
          <w:p w14:paraId="64E7F16E" w14:textId="575F418B" w:rsidR="003B1AF1" w:rsidRDefault="00D30E89" w:rsidP="00C51FC5">
            <w:pPr>
              <w:pStyle w:val="AttH-1H"/>
              <w:numPr>
                <w:ilvl w:val="0"/>
                <w:numId w:val="0"/>
              </w:numPr>
            </w:pPr>
            <w:r>
              <w:t>23</w:t>
            </w:r>
          </w:p>
        </w:tc>
        <w:tc>
          <w:tcPr>
            <w:tcW w:w="1710" w:type="dxa"/>
          </w:tcPr>
          <w:p w14:paraId="3125EFEA" w14:textId="685F1E53" w:rsidR="003B1AF1" w:rsidRPr="00EF3904" w:rsidRDefault="003325F2" w:rsidP="00C51FC5">
            <w:pPr>
              <w:pStyle w:val="AttH-1H"/>
              <w:numPr>
                <w:ilvl w:val="0"/>
                <w:numId w:val="0"/>
              </w:numPr>
            </w:pPr>
            <w:proofErr w:type="spellStart"/>
            <w:r w:rsidRPr="003325F2">
              <w:t>Digitalinx</w:t>
            </w:r>
            <w:proofErr w:type="spellEnd"/>
          </w:p>
        </w:tc>
        <w:tc>
          <w:tcPr>
            <w:tcW w:w="540" w:type="dxa"/>
          </w:tcPr>
          <w:p w14:paraId="1771AD84" w14:textId="241B43C6" w:rsidR="003B1AF1" w:rsidRDefault="003325F2" w:rsidP="00C51FC5">
            <w:pPr>
              <w:pStyle w:val="AttH-1H"/>
              <w:numPr>
                <w:ilvl w:val="0"/>
                <w:numId w:val="0"/>
              </w:numPr>
            </w:pPr>
            <w:r>
              <w:t>2</w:t>
            </w:r>
          </w:p>
        </w:tc>
        <w:tc>
          <w:tcPr>
            <w:tcW w:w="1800" w:type="dxa"/>
          </w:tcPr>
          <w:p w14:paraId="7F1A5BB2" w14:textId="24BD3DCC" w:rsidR="003B1AF1" w:rsidRPr="003B1AF1" w:rsidRDefault="003325F2" w:rsidP="00C51FC5">
            <w:pPr>
              <w:pStyle w:val="AttH-1H"/>
              <w:numPr>
                <w:ilvl w:val="0"/>
                <w:numId w:val="0"/>
              </w:numPr>
            </w:pPr>
            <w:r w:rsidRPr="003325F2">
              <w:t>DL-HDRKUNV1</w:t>
            </w:r>
          </w:p>
        </w:tc>
        <w:tc>
          <w:tcPr>
            <w:tcW w:w="3712" w:type="dxa"/>
          </w:tcPr>
          <w:p w14:paraId="313CA517" w14:textId="5F652F3E" w:rsidR="003B1AF1" w:rsidRDefault="003325F2" w:rsidP="003B1AF1">
            <w:pPr>
              <w:pStyle w:val="AttH-1H"/>
              <w:numPr>
                <w:ilvl w:val="0"/>
                <w:numId w:val="0"/>
              </w:numPr>
            </w:pPr>
            <w:r w:rsidRPr="003325F2">
              <w:t>RACK MOUNT CHASSIS 1RU UNIVER.</w:t>
            </w:r>
          </w:p>
        </w:tc>
      </w:tr>
      <w:tr w:rsidR="00D30E89" w14:paraId="319677BC" w14:textId="77777777" w:rsidTr="00187A34">
        <w:trPr>
          <w:gridAfter w:val="1"/>
          <w:wAfter w:w="18" w:type="dxa"/>
        </w:trPr>
        <w:tc>
          <w:tcPr>
            <w:tcW w:w="715" w:type="dxa"/>
          </w:tcPr>
          <w:p w14:paraId="67A229A1" w14:textId="6968BC83" w:rsidR="00D30E89" w:rsidRDefault="003325F2" w:rsidP="00C51FC5">
            <w:pPr>
              <w:pStyle w:val="AttH-1H"/>
              <w:numPr>
                <w:ilvl w:val="0"/>
                <w:numId w:val="0"/>
              </w:numPr>
            </w:pPr>
            <w:r>
              <w:t>24</w:t>
            </w:r>
          </w:p>
        </w:tc>
        <w:tc>
          <w:tcPr>
            <w:tcW w:w="1710" w:type="dxa"/>
          </w:tcPr>
          <w:p w14:paraId="5323F8CD" w14:textId="7E2F9C65" w:rsidR="00D30E89" w:rsidRPr="00EF3904" w:rsidRDefault="00836BEC" w:rsidP="00C51FC5">
            <w:pPr>
              <w:pStyle w:val="AttH-1H"/>
              <w:numPr>
                <w:ilvl w:val="0"/>
                <w:numId w:val="0"/>
              </w:numPr>
            </w:pPr>
            <w:proofErr w:type="spellStart"/>
            <w:r w:rsidRPr="00836BEC">
              <w:t>DigitalinxIP</w:t>
            </w:r>
            <w:proofErr w:type="spellEnd"/>
          </w:p>
        </w:tc>
        <w:tc>
          <w:tcPr>
            <w:tcW w:w="540" w:type="dxa"/>
          </w:tcPr>
          <w:p w14:paraId="260CBF38" w14:textId="038FC65B" w:rsidR="00D30E89" w:rsidRDefault="00836BEC" w:rsidP="00C51FC5">
            <w:pPr>
              <w:pStyle w:val="AttH-1H"/>
              <w:numPr>
                <w:ilvl w:val="0"/>
                <w:numId w:val="0"/>
              </w:numPr>
            </w:pPr>
            <w:r>
              <w:t>4</w:t>
            </w:r>
          </w:p>
        </w:tc>
        <w:tc>
          <w:tcPr>
            <w:tcW w:w="1800" w:type="dxa"/>
          </w:tcPr>
          <w:p w14:paraId="52108CA7" w14:textId="22F412D2" w:rsidR="00D30E89" w:rsidRPr="003B1AF1" w:rsidRDefault="00836BEC" w:rsidP="00C51FC5">
            <w:pPr>
              <w:pStyle w:val="AttH-1H"/>
              <w:numPr>
                <w:ilvl w:val="0"/>
                <w:numId w:val="0"/>
              </w:numPr>
            </w:pPr>
            <w:r w:rsidRPr="00836BEC">
              <w:t>IPEX5001</w:t>
            </w:r>
          </w:p>
        </w:tc>
        <w:tc>
          <w:tcPr>
            <w:tcW w:w="3712" w:type="dxa"/>
          </w:tcPr>
          <w:p w14:paraId="5FF0BD2E" w14:textId="6168B27F" w:rsidR="00D30E89" w:rsidRDefault="00836BEC" w:rsidP="003B1AF1">
            <w:pPr>
              <w:pStyle w:val="AttH-1H"/>
              <w:numPr>
                <w:ilvl w:val="0"/>
                <w:numId w:val="0"/>
              </w:numPr>
            </w:pPr>
            <w:r w:rsidRPr="00836BEC">
              <w:t>4K JPEG2000 ENCODER</w:t>
            </w:r>
          </w:p>
        </w:tc>
      </w:tr>
      <w:tr w:rsidR="00D30E89" w14:paraId="1C0C82AB" w14:textId="77777777" w:rsidTr="00187A34">
        <w:trPr>
          <w:gridAfter w:val="1"/>
          <w:wAfter w:w="18" w:type="dxa"/>
        </w:trPr>
        <w:tc>
          <w:tcPr>
            <w:tcW w:w="715" w:type="dxa"/>
          </w:tcPr>
          <w:p w14:paraId="3CB52695" w14:textId="461B43DF" w:rsidR="00D30E89" w:rsidRDefault="00836BEC" w:rsidP="00C51FC5">
            <w:pPr>
              <w:pStyle w:val="AttH-1H"/>
              <w:numPr>
                <w:ilvl w:val="0"/>
                <w:numId w:val="0"/>
              </w:numPr>
            </w:pPr>
            <w:r>
              <w:t>25</w:t>
            </w:r>
          </w:p>
        </w:tc>
        <w:tc>
          <w:tcPr>
            <w:tcW w:w="1710" w:type="dxa"/>
          </w:tcPr>
          <w:p w14:paraId="0C95EDE3" w14:textId="01D60D2A" w:rsidR="00D30E89" w:rsidRPr="00EF3904" w:rsidRDefault="00836BEC" w:rsidP="00C51FC5">
            <w:pPr>
              <w:pStyle w:val="AttH-1H"/>
              <w:numPr>
                <w:ilvl w:val="0"/>
                <w:numId w:val="0"/>
              </w:numPr>
            </w:pPr>
            <w:proofErr w:type="spellStart"/>
            <w:r w:rsidRPr="00836BEC">
              <w:t>DigitalinxIP</w:t>
            </w:r>
            <w:proofErr w:type="spellEnd"/>
          </w:p>
        </w:tc>
        <w:tc>
          <w:tcPr>
            <w:tcW w:w="540" w:type="dxa"/>
          </w:tcPr>
          <w:p w14:paraId="6ED3C314" w14:textId="0BC3BA23" w:rsidR="00D30E89" w:rsidRDefault="00836BEC" w:rsidP="00C51FC5">
            <w:pPr>
              <w:pStyle w:val="AttH-1H"/>
              <w:numPr>
                <w:ilvl w:val="0"/>
                <w:numId w:val="0"/>
              </w:numPr>
            </w:pPr>
            <w:r>
              <w:t>6</w:t>
            </w:r>
          </w:p>
        </w:tc>
        <w:tc>
          <w:tcPr>
            <w:tcW w:w="1800" w:type="dxa"/>
          </w:tcPr>
          <w:p w14:paraId="4CEFB726" w14:textId="166962B4" w:rsidR="00D30E89" w:rsidRPr="003B1AF1" w:rsidRDefault="002B79D1" w:rsidP="00C51FC5">
            <w:pPr>
              <w:pStyle w:val="AttH-1H"/>
              <w:numPr>
                <w:ilvl w:val="0"/>
                <w:numId w:val="0"/>
              </w:numPr>
            </w:pPr>
            <w:r w:rsidRPr="002B79D1">
              <w:t>IPEX5002</w:t>
            </w:r>
          </w:p>
        </w:tc>
        <w:tc>
          <w:tcPr>
            <w:tcW w:w="3712" w:type="dxa"/>
          </w:tcPr>
          <w:p w14:paraId="23520167" w14:textId="72B4D0D9" w:rsidR="00D30E89" w:rsidRDefault="002B79D1" w:rsidP="003B1AF1">
            <w:pPr>
              <w:pStyle w:val="AttH-1H"/>
              <w:numPr>
                <w:ilvl w:val="0"/>
                <w:numId w:val="0"/>
              </w:numPr>
            </w:pPr>
            <w:r w:rsidRPr="002B79D1">
              <w:t>4K JPEG2000 DECODER</w:t>
            </w:r>
          </w:p>
        </w:tc>
      </w:tr>
      <w:tr w:rsidR="00D30E89" w14:paraId="035F1601" w14:textId="77777777" w:rsidTr="00187A34">
        <w:trPr>
          <w:gridAfter w:val="1"/>
          <w:wAfter w:w="18" w:type="dxa"/>
        </w:trPr>
        <w:tc>
          <w:tcPr>
            <w:tcW w:w="715" w:type="dxa"/>
            <w:tcBorders>
              <w:bottom w:val="single" w:sz="4" w:space="0" w:color="auto"/>
            </w:tcBorders>
          </w:tcPr>
          <w:p w14:paraId="3734C537" w14:textId="1F6C79FC" w:rsidR="00D30E89" w:rsidRDefault="002B79D1" w:rsidP="00C51FC5">
            <w:pPr>
              <w:pStyle w:val="AttH-1H"/>
              <w:numPr>
                <w:ilvl w:val="0"/>
                <w:numId w:val="0"/>
              </w:numPr>
            </w:pPr>
            <w:r>
              <w:t>26</w:t>
            </w:r>
          </w:p>
        </w:tc>
        <w:tc>
          <w:tcPr>
            <w:tcW w:w="1710" w:type="dxa"/>
            <w:tcBorders>
              <w:bottom w:val="single" w:sz="4" w:space="0" w:color="auto"/>
            </w:tcBorders>
          </w:tcPr>
          <w:p w14:paraId="7E7EA48C" w14:textId="1F9084E7" w:rsidR="00D30E89" w:rsidRPr="00EF3904" w:rsidRDefault="002B79D1" w:rsidP="00C51FC5">
            <w:pPr>
              <w:pStyle w:val="AttH-1H"/>
              <w:numPr>
                <w:ilvl w:val="0"/>
                <w:numId w:val="0"/>
              </w:numPr>
            </w:pPr>
            <w:proofErr w:type="spellStart"/>
            <w:r w:rsidRPr="00836BEC">
              <w:t>DigitalinxIP</w:t>
            </w:r>
            <w:proofErr w:type="spellEnd"/>
          </w:p>
        </w:tc>
        <w:tc>
          <w:tcPr>
            <w:tcW w:w="540" w:type="dxa"/>
            <w:tcBorders>
              <w:bottom w:val="single" w:sz="4" w:space="0" w:color="auto"/>
            </w:tcBorders>
          </w:tcPr>
          <w:p w14:paraId="5B7B7955" w14:textId="77C51F48" w:rsidR="00D30E89" w:rsidRDefault="002B79D1" w:rsidP="00C51FC5">
            <w:pPr>
              <w:pStyle w:val="AttH-1H"/>
              <w:numPr>
                <w:ilvl w:val="0"/>
                <w:numId w:val="0"/>
              </w:numPr>
            </w:pPr>
            <w:r>
              <w:t>1</w:t>
            </w:r>
          </w:p>
        </w:tc>
        <w:tc>
          <w:tcPr>
            <w:tcW w:w="1800" w:type="dxa"/>
            <w:tcBorders>
              <w:bottom w:val="single" w:sz="4" w:space="0" w:color="auto"/>
            </w:tcBorders>
          </w:tcPr>
          <w:p w14:paraId="2AEA9011" w14:textId="2CDD098A" w:rsidR="00D30E89" w:rsidRPr="003B1AF1" w:rsidRDefault="002B79D1" w:rsidP="00C51FC5">
            <w:pPr>
              <w:pStyle w:val="AttH-1H"/>
              <w:numPr>
                <w:ilvl w:val="0"/>
                <w:numId w:val="0"/>
              </w:numPr>
            </w:pPr>
            <w:r w:rsidRPr="002B79D1">
              <w:t>IPEXAR-5000-50</w:t>
            </w:r>
          </w:p>
        </w:tc>
        <w:tc>
          <w:tcPr>
            <w:tcW w:w="3712" w:type="dxa"/>
            <w:tcBorders>
              <w:bottom w:val="single" w:sz="4" w:space="0" w:color="auto"/>
            </w:tcBorders>
          </w:tcPr>
          <w:p w14:paraId="03A59C05" w14:textId="6F635D43" w:rsidR="00D30E89" w:rsidRDefault="00593C99" w:rsidP="00F71C79">
            <w:pPr>
              <w:pStyle w:val="AttH-1H"/>
              <w:numPr>
                <w:ilvl w:val="0"/>
                <w:numId w:val="0"/>
              </w:numPr>
            </w:pPr>
            <w:proofErr w:type="spellStart"/>
            <w:r>
              <w:t>DigiIP</w:t>
            </w:r>
            <w:proofErr w:type="spellEnd"/>
            <w:r>
              <w:t xml:space="preserve"> 5000 Series controller pre-loaded with Arranger software for </w:t>
            </w:r>
            <w:proofErr w:type="spellStart"/>
            <w:r>
              <w:t>DigiIP</w:t>
            </w:r>
            <w:proofErr w:type="spellEnd"/>
            <w:r>
              <w:t xml:space="preserve"> systems with 1-50 endpoints</w:t>
            </w:r>
          </w:p>
        </w:tc>
      </w:tr>
      <w:tr w:rsidR="00593C99" w14:paraId="5AC8BCCC" w14:textId="77777777" w:rsidTr="00090BB6">
        <w:tc>
          <w:tcPr>
            <w:tcW w:w="8495" w:type="dxa"/>
            <w:gridSpan w:val="6"/>
          </w:tcPr>
          <w:p w14:paraId="0913E1C3" w14:textId="7920A456" w:rsidR="00593C99" w:rsidRDefault="00593C99" w:rsidP="003B1AF1">
            <w:pPr>
              <w:pStyle w:val="AttH-1H"/>
              <w:numPr>
                <w:ilvl w:val="0"/>
                <w:numId w:val="0"/>
              </w:numPr>
            </w:pPr>
            <w:r w:rsidRPr="00593C99">
              <w:rPr>
                <w:b/>
                <w:bCs/>
              </w:rPr>
              <w:t>CONTROL SYSTEM</w:t>
            </w:r>
          </w:p>
        </w:tc>
      </w:tr>
      <w:tr w:rsidR="00D30E89" w14:paraId="5071ACEA" w14:textId="77777777" w:rsidTr="00187A34">
        <w:trPr>
          <w:gridAfter w:val="1"/>
          <w:wAfter w:w="18" w:type="dxa"/>
        </w:trPr>
        <w:tc>
          <w:tcPr>
            <w:tcW w:w="715" w:type="dxa"/>
          </w:tcPr>
          <w:p w14:paraId="17258951" w14:textId="6922F367" w:rsidR="00D30E89" w:rsidRDefault="0013508E" w:rsidP="00C51FC5">
            <w:pPr>
              <w:pStyle w:val="AttH-1H"/>
              <w:numPr>
                <w:ilvl w:val="0"/>
                <w:numId w:val="0"/>
              </w:numPr>
            </w:pPr>
            <w:r>
              <w:t>27</w:t>
            </w:r>
          </w:p>
        </w:tc>
        <w:tc>
          <w:tcPr>
            <w:tcW w:w="1710" w:type="dxa"/>
          </w:tcPr>
          <w:p w14:paraId="1611B023" w14:textId="343470D4" w:rsidR="00D30E89" w:rsidRPr="00EF3904" w:rsidRDefault="0013508E" w:rsidP="00C51FC5">
            <w:pPr>
              <w:pStyle w:val="AttH-1H"/>
              <w:numPr>
                <w:ilvl w:val="0"/>
                <w:numId w:val="0"/>
              </w:numPr>
            </w:pPr>
            <w:r w:rsidRPr="0013508E">
              <w:t>Extron</w:t>
            </w:r>
          </w:p>
        </w:tc>
        <w:tc>
          <w:tcPr>
            <w:tcW w:w="540" w:type="dxa"/>
          </w:tcPr>
          <w:p w14:paraId="3F9EDBAC" w14:textId="5AD93A9F" w:rsidR="00D30E89" w:rsidRDefault="0013508E" w:rsidP="00C51FC5">
            <w:pPr>
              <w:pStyle w:val="AttH-1H"/>
              <w:numPr>
                <w:ilvl w:val="0"/>
                <w:numId w:val="0"/>
              </w:numPr>
            </w:pPr>
            <w:r>
              <w:t>1</w:t>
            </w:r>
          </w:p>
        </w:tc>
        <w:tc>
          <w:tcPr>
            <w:tcW w:w="1800" w:type="dxa"/>
          </w:tcPr>
          <w:p w14:paraId="4C5E2EB9" w14:textId="198D18B4" w:rsidR="00D30E89" w:rsidRPr="003B1AF1" w:rsidRDefault="0013508E" w:rsidP="00C51FC5">
            <w:pPr>
              <w:pStyle w:val="AttH-1H"/>
              <w:numPr>
                <w:ilvl w:val="0"/>
                <w:numId w:val="0"/>
              </w:numPr>
            </w:pPr>
            <w:r w:rsidRPr="0013508E">
              <w:t>60-1914-01A</w:t>
            </w:r>
          </w:p>
        </w:tc>
        <w:tc>
          <w:tcPr>
            <w:tcW w:w="3712" w:type="dxa"/>
          </w:tcPr>
          <w:p w14:paraId="543355DC" w14:textId="2281250D" w:rsidR="00D30E89" w:rsidRDefault="0013508E" w:rsidP="00C363CB">
            <w:pPr>
              <w:pStyle w:val="AttH-1H"/>
              <w:numPr>
                <w:ilvl w:val="0"/>
                <w:numId w:val="0"/>
              </w:numPr>
            </w:pPr>
            <w:r>
              <w:t>IPCP Pro 255Q xi - IPCP Pro xi Quad Control Processor w/</w:t>
            </w:r>
            <w:proofErr w:type="spellStart"/>
            <w:r>
              <w:t>LinkLicense</w:t>
            </w:r>
            <w:proofErr w:type="spellEnd"/>
            <w:r>
              <w:t xml:space="preserve"> for User Interfaces</w:t>
            </w:r>
            <w:r w:rsidR="00C363CB">
              <w:t xml:space="preserve"> </w:t>
            </w:r>
            <w:r>
              <w:t>Upgrade</w:t>
            </w:r>
          </w:p>
        </w:tc>
      </w:tr>
      <w:tr w:rsidR="0013508E" w14:paraId="1A7B0F8B" w14:textId="77777777" w:rsidTr="00187A34">
        <w:trPr>
          <w:gridAfter w:val="1"/>
          <w:wAfter w:w="18" w:type="dxa"/>
        </w:trPr>
        <w:tc>
          <w:tcPr>
            <w:tcW w:w="715" w:type="dxa"/>
          </w:tcPr>
          <w:p w14:paraId="4A61BF79" w14:textId="49DEE8CE" w:rsidR="0013508E" w:rsidRDefault="0013508E" w:rsidP="00C51FC5">
            <w:pPr>
              <w:pStyle w:val="AttH-1H"/>
              <w:numPr>
                <w:ilvl w:val="0"/>
                <w:numId w:val="0"/>
              </w:numPr>
            </w:pPr>
            <w:r>
              <w:t>28</w:t>
            </w:r>
          </w:p>
        </w:tc>
        <w:tc>
          <w:tcPr>
            <w:tcW w:w="1710" w:type="dxa"/>
          </w:tcPr>
          <w:p w14:paraId="22FB4E9D" w14:textId="44151D42" w:rsidR="0013508E" w:rsidRPr="0013508E" w:rsidRDefault="00A042A4" w:rsidP="00C51FC5">
            <w:pPr>
              <w:pStyle w:val="AttH-1H"/>
              <w:numPr>
                <w:ilvl w:val="0"/>
                <w:numId w:val="0"/>
              </w:numPr>
            </w:pPr>
            <w:r w:rsidRPr="00A042A4">
              <w:t>Logitech</w:t>
            </w:r>
          </w:p>
        </w:tc>
        <w:tc>
          <w:tcPr>
            <w:tcW w:w="540" w:type="dxa"/>
          </w:tcPr>
          <w:p w14:paraId="1E03A5B8" w14:textId="79103EDF" w:rsidR="0013508E" w:rsidRDefault="00A042A4" w:rsidP="00C51FC5">
            <w:pPr>
              <w:pStyle w:val="AttH-1H"/>
              <w:numPr>
                <w:ilvl w:val="0"/>
                <w:numId w:val="0"/>
              </w:numPr>
            </w:pPr>
            <w:r>
              <w:t>1</w:t>
            </w:r>
          </w:p>
        </w:tc>
        <w:tc>
          <w:tcPr>
            <w:tcW w:w="1800" w:type="dxa"/>
          </w:tcPr>
          <w:p w14:paraId="0CF93EAA" w14:textId="6C9FC233" w:rsidR="0013508E" w:rsidRPr="0013508E" w:rsidRDefault="00A042A4" w:rsidP="00C51FC5">
            <w:pPr>
              <w:pStyle w:val="AttH-1H"/>
              <w:numPr>
                <w:ilvl w:val="0"/>
                <w:numId w:val="0"/>
              </w:numPr>
            </w:pPr>
            <w:r w:rsidRPr="00A042A4">
              <w:t>939001817</w:t>
            </w:r>
          </w:p>
        </w:tc>
        <w:tc>
          <w:tcPr>
            <w:tcW w:w="3712" w:type="dxa"/>
          </w:tcPr>
          <w:p w14:paraId="50E5C9C9" w14:textId="0A7BBA3C" w:rsidR="0013508E" w:rsidRDefault="00A042A4" w:rsidP="0013508E">
            <w:pPr>
              <w:pStyle w:val="AttH-1H"/>
              <w:numPr>
                <w:ilvl w:val="0"/>
                <w:numId w:val="0"/>
              </w:numPr>
            </w:pPr>
            <w:r w:rsidRPr="00A042A4">
              <w:t>TAP Wall Mount</w:t>
            </w:r>
          </w:p>
        </w:tc>
      </w:tr>
      <w:tr w:rsidR="00A042A4" w14:paraId="6D097B34" w14:textId="77777777" w:rsidTr="00187A34">
        <w:trPr>
          <w:gridAfter w:val="1"/>
          <w:wAfter w:w="18" w:type="dxa"/>
        </w:trPr>
        <w:tc>
          <w:tcPr>
            <w:tcW w:w="715" w:type="dxa"/>
          </w:tcPr>
          <w:p w14:paraId="5E8891D4" w14:textId="66ADB729" w:rsidR="00A042A4" w:rsidRDefault="00A042A4" w:rsidP="00C51FC5">
            <w:pPr>
              <w:pStyle w:val="AttH-1H"/>
              <w:numPr>
                <w:ilvl w:val="0"/>
                <w:numId w:val="0"/>
              </w:numPr>
            </w:pPr>
            <w:r>
              <w:t>29</w:t>
            </w:r>
          </w:p>
        </w:tc>
        <w:tc>
          <w:tcPr>
            <w:tcW w:w="1710" w:type="dxa"/>
          </w:tcPr>
          <w:p w14:paraId="384F6182" w14:textId="2B8D8419" w:rsidR="00A042A4" w:rsidRPr="00A042A4" w:rsidRDefault="00A042A4" w:rsidP="00C51FC5">
            <w:pPr>
              <w:pStyle w:val="AttH-1H"/>
              <w:numPr>
                <w:ilvl w:val="0"/>
                <w:numId w:val="0"/>
              </w:numPr>
            </w:pPr>
            <w:r w:rsidRPr="00A042A4">
              <w:t>Logitech</w:t>
            </w:r>
          </w:p>
        </w:tc>
        <w:tc>
          <w:tcPr>
            <w:tcW w:w="540" w:type="dxa"/>
          </w:tcPr>
          <w:p w14:paraId="585C9CDB" w14:textId="6F117EE8" w:rsidR="00A042A4" w:rsidRDefault="00A042A4" w:rsidP="00C51FC5">
            <w:pPr>
              <w:pStyle w:val="AttH-1H"/>
              <w:numPr>
                <w:ilvl w:val="0"/>
                <w:numId w:val="0"/>
              </w:numPr>
            </w:pPr>
            <w:r>
              <w:t>1</w:t>
            </w:r>
          </w:p>
        </w:tc>
        <w:tc>
          <w:tcPr>
            <w:tcW w:w="1800" w:type="dxa"/>
          </w:tcPr>
          <w:p w14:paraId="73FA5539" w14:textId="3A0193EF" w:rsidR="00A042A4" w:rsidRPr="00A042A4" w:rsidRDefault="00A042A4" w:rsidP="00C51FC5">
            <w:pPr>
              <w:pStyle w:val="AttH-1H"/>
              <w:numPr>
                <w:ilvl w:val="0"/>
                <w:numId w:val="0"/>
              </w:numPr>
            </w:pPr>
            <w:r w:rsidRPr="00A042A4">
              <w:t>952000085</w:t>
            </w:r>
          </w:p>
        </w:tc>
        <w:tc>
          <w:tcPr>
            <w:tcW w:w="3712" w:type="dxa"/>
          </w:tcPr>
          <w:p w14:paraId="65A4597A" w14:textId="048C7029" w:rsidR="00A042A4" w:rsidRPr="00A042A4" w:rsidRDefault="00624849" w:rsidP="0013508E">
            <w:pPr>
              <w:pStyle w:val="AttH-1H"/>
              <w:numPr>
                <w:ilvl w:val="0"/>
                <w:numId w:val="0"/>
              </w:numPr>
            </w:pPr>
            <w:r w:rsidRPr="00624849">
              <w:t>Tap IP (Graphite)</w:t>
            </w:r>
          </w:p>
        </w:tc>
      </w:tr>
      <w:tr w:rsidR="00624849" w14:paraId="26AF540E" w14:textId="77777777" w:rsidTr="00187A34">
        <w:trPr>
          <w:gridAfter w:val="1"/>
          <w:wAfter w:w="18" w:type="dxa"/>
        </w:trPr>
        <w:tc>
          <w:tcPr>
            <w:tcW w:w="715" w:type="dxa"/>
          </w:tcPr>
          <w:p w14:paraId="627A49DE" w14:textId="23991AE2" w:rsidR="00624849" w:rsidRDefault="00624849" w:rsidP="00C51FC5">
            <w:pPr>
              <w:pStyle w:val="AttH-1H"/>
              <w:numPr>
                <w:ilvl w:val="0"/>
                <w:numId w:val="0"/>
              </w:numPr>
            </w:pPr>
            <w:r>
              <w:t>30</w:t>
            </w:r>
          </w:p>
        </w:tc>
        <w:tc>
          <w:tcPr>
            <w:tcW w:w="1710" w:type="dxa"/>
          </w:tcPr>
          <w:p w14:paraId="0870A909" w14:textId="240E58DE" w:rsidR="00624849" w:rsidRPr="00A042A4" w:rsidRDefault="00624849" w:rsidP="00C51FC5">
            <w:pPr>
              <w:pStyle w:val="AttH-1H"/>
              <w:numPr>
                <w:ilvl w:val="0"/>
                <w:numId w:val="0"/>
              </w:numPr>
            </w:pPr>
            <w:r w:rsidRPr="00624849">
              <w:t>Logitech</w:t>
            </w:r>
          </w:p>
        </w:tc>
        <w:tc>
          <w:tcPr>
            <w:tcW w:w="540" w:type="dxa"/>
          </w:tcPr>
          <w:p w14:paraId="65117A83" w14:textId="5573F18C" w:rsidR="00624849" w:rsidRDefault="00624849" w:rsidP="00C51FC5">
            <w:pPr>
              <w:pStyle w:val="AttH-1H"/>
              <w:numPr>
                <w:ilvl w:val="0"/>
                <w:numId w:val="0"/>
              </w:numPr>
            </w:pPr>
            <w:r>
              <w:t>1</w:t>
            </w:r>
          </w:p>
        </w:tc>
        <w:tc>
          <w:tcPr>
            <w:tcW w:w="1800" w:type="dxa"/>
          </w:tcPr>
          <w:p w14:paraId="6A95CEED" w14:textId="2F35AE14" w:rsidR="00624849" w:rsidRPr="00A042A4" w:rsidRDefault="00624849" w:rsidP="00C51FC5">
            <w:pPr>
              <w:pStyle w:val="AttH-1H"/>
              <w:numPr>
                <w:ilvl w:val="0"/>
                <w:numId w:val="0"/>
              </w:numPr>
            </w:pPr>
            <w:r w:rsidRPr="00624849">
              <w:t>952000088</w:t>
            </w:r>
          </w:p>
        </w:tc>
        <w:tc>
          <w:tcPr>
            <w:tcW w:w="3712" w:type="dxa"/>
          </w:tcPr>
          <w:p w14:paraId="1030440D" w14:textId="4A43E9F2" w:rsidR="00624849" w:rsidRPr="00624849" w:rsidRDefault="00185832" w:rsidP="0013508E">
            <w:pPr>
              <w:pStyle w:val="AttH-1H"/>
              <w:numPr>
                <w:ilvl w:val="0"/>
                <w:numId w:val="0"/>
              </w:numPr>
            </w:pPr>
            <w:r w:rsidRPr="00185832">
              <w:t>Tap IP (White)</w:t>
            </w:r>
          </w:p>
        </w:tc>
      </w:tr>
      <w:tr w:rsidR="00185832" w14:paraId="1FB1F440" w14:textId="77777777" w:rsidTr="00187A34">
        <w:trPr>
          <w:gridAfter w:val="1"/>
          <w:wAfter w:w="18" w:type="dxa"/>
        </w:trPr>
        <w:tc>
          <w:tcPr>
            <w:tcW w:w="715" w:type="dxa"/>
            <w:tcBorders>
              <w:bottom w:val="single" w:sz="4" w:space="0" w:color="auto"/>
            </w:tcBorders>
          </w:tcPr>
          <w:p w14:paraId="50121B18" w14:textId="1305B121" w:rsidR="00185832" w:rsidRDefault="00185832" w:rsidP="00C51FC5">
            <w:pPr>
              <w:pStyle w:val="AttH-1H"/>
              <w:numPr>
                <w:ilvl w:val="0"/>
                <w:numId w:val="0"/>
              </w:numPr>
            </w:pPr>
            <w:r>
              <w:lastRenderedPageBreak/>
              <w:t>31</w:t>
            </w:r>
          </w:p>
        </w:tc>
        <w:tc>
          <w:tcPr>
            <w:tcW w:w="1710" w:type="dxa"/>
            <w:tcBorders>
              <w:bottom w:val="single" w:sz="4" w:space="0" w:color="auto"/>
            </w:tcBorders>
          </w:tcPr>
          <w:p w14:paraId="61A64A3F" w14:textId="0E47EACB" w:rsidR="00185832" w:rsidRPr="00624849" w:rsidRDefault="00185832" w:rsidP="00C51FC5">
            <w:pPr>
              <w:pStyle w:val="AttH-1H"/>
              <w:numPr>
                <w:ilvl w:val="0"/>
                <w:numId w:val="0"/>
              </w:numPr>
            </w:pPr>
            <w:proofErr w:type="spellStart"/>
            <w:r w:rsidRPr="00185832">
              <w:t>Netgear</w:t>
            </w:r>
            <w:proofErr w:type="spellEnd"/>
          </w:p>
        </w:tc>
        <w:tc>
          <w:tcPr>
            <w:tcW w:w="540" w:type="dxa"/>
            <w:tcBorders>
              <w:bottom w:val="single" w:sz="4" w:space="0" w:color="auto"/>
            </w:tcBorders>
          </w:tcPr>
          <w:p w14:paraId="437B4D9F" w14:textId="7807372C" w:rsidR="00185832" w:rsidRDefault="00185832" w:rsidP="00C51FC5">
            <w:pPr>
              <w:pStyle w:val="AttH-1H"/>
              <w:numPr>
                <w:ilvl w:val="0"/>
                <w:numId w:val="0"/>
              </w:numPr>
            </w:pPr>
            <w:r>
              <w:t>1</w:t>
            </w:r>
          </w:p>
        </w:tc>
        <w:tc>
          <w:tcPr>
            <w:tcW w:w="1800" w:type="dxa"/>
            <w:tcBorders>
              <w:bottom w:val="single" w:sz="4" w:space="0" w:color="auto"/>
            </w:tcBorders>
          </w:tcPr>
          <w:p w14:paraId="6C5D9477" w14:textId="4D0932ED" w:rsidR="00185832" w:rsidRPr="00624849" w:rsidRDefault="00185832" w:rsidP="00C51FC5">
            <w:pPr>
              <w:pStyle w:val="AttH-1H"/>
              <w:numPr>
                <w:ilvl w:val="0"/>
                <w:numId w:val="0"/>
              </w:numPr>
            </w:pPr>
            <w:r w:rsidRPr="00185832">
              <w:t>GSM4230P-100NAS</w:t>
            </w:r>
          </w:p>
        </w:tc>
        <w:tc>
          <w:tcPr>
            <w:tcW w:w="3712" w:type="dxa"/>
            <w:tcBorders>
              <w:bottom w:val="single" w:sz="4" w:space="0" w:color="auto"/>
            </w:tcBorders>
          </w:tcPr>
          <w:p w14:paraId="5D1592EA" w14:textId="258D6DC7" w:rsidR="00185832" w:rsidRPr="00185832" w:rsidRDefault="00185832" w:rsidP="0013508E">
            <w:pPr>
              <w:pStyle w:val="AttH-1H"/>
              <w:numPr>
                <w:ilvl w:val="0"/>
                <w:numId w:val="0"/>
              </w:numPr>
            </w:pPr>
            <w:r w:rsidRPr="00185832">
              <w:t>M4250-26G4F-POE+ - 24x1G PoE+ 300W 2x1G and 4xSFP Managed Switch</w:t>
            </w:r>
          </w:p>
        </w:tc>
      </w:tr>
      <w:tr w:rsidR="00981578" w14:paraId="47A567A1" w14:textId="77777777" w:rsidTr="00090BB6">
        <w:tc>
          <w:tcPr>
            <w:tcW w:w="8495" w:type="dxa"/>
            <w:gridSpan w:val="6"/>
          </w:tcPr>
          <w:p w14:paraId="27281474" w14:textId="1B732BE6" w:rsidR="00981578" w:rsidRPr="00185832" w:rsidRDefault="00D111D2" w:rsidP="0013508E">
            <w:pPr>
              <w:pStyle w:val="AttH-1H"/>
              <w:numPr>
                <w:ilvl w:val="0"/>
                <w:numId w:val="0"/>
              </w:numPr>
            </w:pPr>
            <w:r>
              <w:rPr>
                <w:b/>
                <w:bCs/>
              </w:rPr>
              <w:t>EQUIPMENT RACK</w:t>
            </w:r>
          </w:p>
        </w:tc>
      </w:tr>
      <w:tr w:rsidR="00981578" w14:paraId="7E365373" w14:textId="77777777" w:rsidTr="00187A34">
        <w:trPr>
          <w:gridAfter w:val="1"/>
          <w:wAfter w:w="18" w:type="dxa"/>
        </w:trPr>
        <w:tc>
          <w:tcPr>
            <w:tcW w:w="715" w:type="dxa"/>
          </w:tcPr>
          <w:p w14:paraId="2BDD5009" w14:textId="61C6B319" w:rsidR="00981578" w:rsidRPr="00656E7A" w:rsidRDefault="00981578" w:rsidP="00C51FC5">
            <w:pPr>
              <w:pStyle w:val="AttH-1H"/>
              <w:numPr>
                <w:ilvl w:val="0"/>
                <w:numId w:val="0"/>
              </w:numPr>
            </w:pPr>
            <w:r w:rsidRPr="00656E7A">
              <w:t>32</w:t>
            </w:r>
          </w:p>
        </w:tc>
        <w:tc>
          <w:tcPr>
            <w:tcW w:w="1710" w:type="dxa"/>
          </w:tcPr>
          <w:p w14:paraId="645444AE" w14:textId="668412C4" w:rsidR="00981578" w:rsidRPr="00656E7A" w:rsidRDefault="00FA3978" w:rsidP="00C51FC5">
            <w:pPr>
              <w:pStyle w:val="AttH-1H"/>
              <w:numPr>
                <w:ilvl w:val="0"/>
                <w:numId w:val="0"/>
              </w:numPr>
            </w:pPr>
            <w:r>
              <w:t>Middle Atlantic</w:t>
            </w:r>
          </w:p>
        </w:tc>
        <w:tc>
          <w:tcPr>
            <w:tcW w:w="540" w:type="dxa"/>
          </w:tcPr>
          <w:p w14:paraId="0FDBC3A2" w14:textId="78931A6D" w:rsidR="00981578" w:rsidRPr="00656E7A" w:rsidRDefault="00656E7A" w:rsidP="00C51FC5">
            <w:pPr>
              <w:pStyle w:val="AttH-1H"/>
              <w:numPr>
                <w:ilvl w:val="0"/>
                <w:numId w:val="0"/>
              </w:numPr>
            </w:pPr>
            <w:r>
              <w:t>1</w:t>
            </w:r>
          </w:p>
        </w:tc>
        <w:tc>
          <w:tcPr>
            <w:tcW w:w="1800" w:type="dxa"/>
          </w:tcPr>
          <w:p w14:paraId="7CECD5BF" w14:textId="271C3E29" w:rsidR="00981578" w:rsidRPr="00656E7A" w:rsidRDefault="00E66D8A" w:rsidP="00C51FC5">
            <w:pPr>
              <w:pStyle w:val="AttH-1H"/>
              <w:numPr>
                <w:ilvl w:val="0"/>
                <w:numId w:val="0"/>
              </w:numPr>
            </w:pPr>
            <w:r w:rsidRPr="00E66D8A">
              <w:t>CAB-COOL-2</w:t>
            </w:r>
          </w:p>
        </w:tc>
        <w:tc>
          <w:tcPr>
            <w:tcW w:w="3712" w:type="dxa"/>
          </w:tcPr>
          <w:p w14:paraId="24D0ED8F" w14:textId="24E56F32" w:rsidR="00981578" w:rsidRPr="00656E7A" w:rsidRDefault="00E66D8A" w:rsidP="0013508E">
            <w:pPr>
              <w:pStyle w:val="AttH-1H"/>
              <w:numPr>
                <w:ilvl w:val="0"/>
                <w:numId w:val="0"/>
              </w:numPr>
            </w:pPr>
            <w:r w:rsidRPr="00E66D8A">
              <w:t>CABINET COOL SYSTEMDUAL</w:t>
            </w:r>
          </w:p>
        </w:tc>
      </w:tr>
      <w:tr w:rsidR="00E66D8A" w14:paraId="16DE2413" w14:textId="77777777" w:rsidTr="00187A34">
        <w:trPr>
          <w:gridAfter w:val="1"/>
          <w:wAfter w:w="18" w:type="dxa"/>
        </w:trPr>
        <w:tc>
          <w:tcPr>
            <w:tcW w:w="715" w:type="dxa"/>
          </w:tcPr>
          <w:p w14:paraId="5A4B007A" w14:textId="1F03204B" w:rsidR="00E66D8A" w:rsidRPr="00656E7A" w:rsidRDefault="00E66D8A" w:rsidP="00E66D8A">
            <w:pPr>
              <w:pStyle w:val="AttH-1H"/>
              <w:numPr>
                <w:ilvl w:val="0"/>
                <w:numId w:val="0"/>
              </w:numPr>
            </w:pPr>
            <w:r>
              <w:t>33</w:t>
            </w:r>
          </w:p>
        </w:tc>
        <w:tc>
          <w:tcPr>
            <w:tcW w:w="1710" w:type="dxa"/>
          </w:tcPr>
          <w:p w14:paraId="0A5E37AB" w14:textId="326D2B7B" w:rsidR="00E66D8A" w:rsidRPr="00656E7A" w:rsidRDefault="00FA3978" w:rsidP="00E66D8A">
            <w:pPr>
              <w:pStyle w:val="AttH-1H"/>
              <w:numPr>
                <w:ilvl w:val="0"/>
                <w:numId w:val="0"/>
              </w:numPr>
            </w:pPr>
            <w:r>
              <w:t>Middle Atlantic</w:t>
            </w:r>
          </w:p>
        </w:tc>
        <w:tc>
          <w:tcPr>
            <w:tcW w:w="540" w:type="dxa"/>
          </w:tcPr>
          <w:p w14:paraId="5B8A4B73" w14:textId="7237654E" w:rsidR="00E66D8A" w:rsidRPr="00656E7A" w:rsidRDefault="00E66D8A" w:rsidP="00E66D8A">
            <w:pPr>
              <w:pStyle w:val="AttH-1H"/>
              <w:numPr>
                <w:ilvl w:val="0"/>
                <w:numId w:val="0"/>
              </w:numPr>
            </w:pPr>
            <w:r>
              <w:t>1</w:t>
            </w:r>
          </w:p>
        </w:tc>
        <w:tc>
          <w:tcPr>
            <w:tcW w:w="1800" w:type="dxa"/>
          </w:tcPr>
          <w:p w14:paraId="637D5AAF" w14:textId="40718687" w:rsidR="00E66D8A" w:rsidRPr="00656E7A" w:rsidRDefault="00E66D8A" w:rsidP="00E66D8A">
            <w:pPr>
              <w:pStyle w:val="AttH-1H"/>
              <w:numPr>
                <w:ilvl w:val="0"/>
                <w:numId w:val="0"/>
              </w:numPr>
            </w:pPr>
            <w:r w:rsidRPr="00E66D8A">
              <w:t>EB1</w:t>
            </w:r>
          </w:p>
        </w:tc>
        <w:tc>
          <w:tcPr>
            <w:tcW w:w="3712" w:type="dxa"/>
          </w:tcPr>
          <w:p w14:paraId="5B0CD898" w14:textId="1C3EA77C" w:rsidR="00E66D8A" w:rsidRPr="00656E7A" w:rsidRDefault="0077224A" w:rsidP="00E66D8A">
            <w:pPr>
              <w:pStyle w:val="AttH-1H"/>
              <w:numPr>
                <w:ilvl w:val="0"/>
                <w:numId w:val="0"/>
              </w:numPr>
            </w:pPr>
            <w:r w:rsidRPr="0077224A">
              <w:t>1SP FLANGED ECONO BLANK</w:t>
            </w:r>
          </w:p>
        </w:tc>
      </w:tr>
      <w:tr w:rsidR="00E66D8A" w14:paraId="099D5A6F" w14:textId="77777777" w:rsidTr="00187A34">
        <w:trPr>
          <w:gridAfter w:val="1"/>
          <w:wAfter w:w="18" w:type="dxa"/>
        </w:trPr>
        <w:tc>
          <w:tcPr>
            <w:tcW w:w="715" w:type="dxa"/>
          </w:tcPr>
          <w:p w14:paraId="0195016B" w14:textId="74421754" w:rsidR="00E66D8A" w:rsidRPr="00656E7A" w:rsidRDefault="0077224A" w:rsidP="00E66D8A">
            <w:pPr>
              <w:pStyle w:val="AttH-1H"/>
              <w:numPr>
                <w:ilvl w:val="0"/>
                <w:numId w:val="0"/>
              </w:numPr>
            </w:pPr>
            <w:r>
              <w:t>34</w:t>
            </w:r>
          </w:p>
        </w:tc>
        <w:tc>
          <w:tcPr>
            <w:tcW w:w="1710" w:type="dxa"/>
          </w:tcPr>
          <w:p w14:paraId="4C642855" w14:textId="606FE82B" w:rsidR="00E66D8A" w:rsidRPr="00656E7A" w:rsidRDefault="00FA3978" w:rsidP="00E66D8A">
            <w:pPr>
              <w:pStyle w:val="AttH-1H"/>
              <w:numPr>
                <w:ilvl w:val="0"/>
                <w:numId w:val="0"/>
              </w:numPr>
            </w:pPr>
            <w:r>
              <w:t>Middle Atlantic</w:t>
            </w:r>
          </w:p>
        </w:tc>
        <w:tc>
          <w:tcPr>
            <w:tcW w:w="540" w:type="dxa"/>
          </w:tcPr>
          <w:p w14:paraId="396C2324" w14:textId="4F6707FA" w:rsidR="00E66D8A" w:rsidRPr="00656E7A" w:rsidRDefault="0077224A" w:rsidP="00E66D8A">
            <w:pPr>
              <w:pStyle w:val="AttH-1H"/>
              <w:numPr>
                <w:ilvl w:val="0"/>
                <w:numId w:val="0"/>
              </w:numPr>
            </w:pPr>
            <w:r>
              <w:t>1</w:t>
            </w:r>
          </w:p>
        </w:tc>
        <w:tc>
          <w:tcPr>
            <w:tcW w:w="1800" w:type="dxa"/>
          </w:tcPr>
          <w:p w14:paraId="048CEE5A" w14:textId="55946A0A" w:rsidR="00E66D8A" w:rsidRPr="00656E7A" w:rsidRDefault="0077224A" w:rsidP="00E66D8A">
            <w:pPr>
              <w:pStyle w:val="AttH-1H"/>
              <w:numPr>
                <w:ilvl w:val="0"/>
                <w:numId w:val="0"/>
              </w:numPr>
            </w:pPr>
            <w:r w:rsidRPr="0077224A">
              <w:t>PD-1815R-RN</w:t>
            </w:r>
          </w:p>
        </w:tc>
        <w:tc>
          <w:tcPr>
            <w:tcW w:w="3712" w:type="dxa"/>
          </w:tcPr>
          <w:p w14:paraId="2DA0B71B" w14:textId="2C3EB553" w:rsidR="00E66D8A" w:rsidRPr="00656E7A" w:rsidRDefault="0077224A" w:rsidP="00E66D8A">
            <w:pPr>
              <w:pStyle w:val="AttH-1H"/>
              <w:numPr>
                <w:ilvl w:val="0"/>
                <w:numId w:val="0"/>
              </w:numPr>
            </w:pPr>
            <w:r w:rsidRPr="0077224A">
              <w:t>18OUT 15ARKMT 2-STG SRG</w:t>
            </w:r>
          </w:p>
        </w:tc>
      </w:tr>
      <w:tr w:rsidR="0077224A" w14:paraId="72AE0BF6" w14:textId="77777777" w:rsidTr="00187A34">
        <w:trPr>
          <w:gridAfter w:val="1"/>
          <w:wAfter w:w="18" w:type="dxa"/>
        </w:trPr>
        <w:tc>
          <w:tcPr>
            <w:tcW w:w="715" w:type="dxa"/>
          </w:tcPr>
          <w:p w14:paraId="6DD43D74" w14:textId="47C7E770" w:rsidR="0077224A" w:rsidRPr="00656E7A" w:rsidRDefault="0077224A" w:rsidP="00E66D8A">
            <w:pPr>
              <w:pStyle w:val="AttH-1H"/>
              <w:numPr>
                <w:ilvl w:val="0"/>
                <w:numId w:val="0"/>
              </w:numPr>
            </w:pPr>
            <w:r>
              <w:t>35</w:t>
            </w:r>
          </w:p>
        </w:tc>
        <w:tc>
          <w:tcPr>
            <w:tcW w:w="1710" w:type="dxa"/>
          </w:tcPr>
          <w:p w14:paraId="0246735F" w14:textId="3E7BAF9D" w:rsidR="0077224A" w:rsidRPr="00656E7A" w:rsidRDefault="00FA3978" w:rsidP="00E66D8A">
            <w:pPr>
              <w:pStyle w:val="AttH-1H"/>
              <w:numPr>
                <w:ilvl w:val="0"/>
                <w:numId w:val="0"/>
              </w:numPr>
            </w:pPr>
            <w:r>
              <w:t>Middle Atlantic</w:t>
            </w:r>
          </w:p>
        </w:tc>
        <w:tc>
          <w:tcPr>
            <w:tcW w:w="540" w:type="dxa"/>
          </w:tcPr>
          <w:p w14:paraId="63C4AA19" w14:textId="1631B17E" w:rsidR="0077224A" w:rsidRPr="00656E7A" w:rsidRDefault="009B2117" w:rsidP="00E66D8A">
            <w:pPr>
              <w:pStyle w:val="AttH-1H"/>
              <w:numPr>
                <w:ilvl w:val="0"/>
                <w:numId w:val="0"/>
              </w:numPr>
            </w:pPr>
            <w:r>
              <w:t>1</w:t>
            </w:r>
          </w:p>
        </w:tc>
        <w:tc>
          <w:tcPr>
            <w:tcW w:w="1800" w:type="dxa"/>
          </w:tcPr>
          <w:p w14:paraId="0ABE6FD5" w14:textId="40E292A8" w:rsidR="0077224A" w:rsidRPr="00656E7A" w:rsidRDefault="009B2117" w:rsidP="00E66D8A">
            <w:pPr>
              <w:pStyle w:val="AttH-1H"/>
              <w:numPr>
                <w:ilvl w:val="0"/>
                <w:numId w:val="0"/>
              </w:numPr>
            </w:pPr>
            <w:r w:rsidRPr="009B2117">
              <w:t>SRSR-X-12</w:t>
            </w:r>
          </w:p>
        </w:tc>
        <w:tc>
          <w:tcPr>
            <w:tcW w:w="3712" w:type="dxa"/>
          </w:tcPr>
          <w:p w14:paraId="46D4F454" w14:textId="1049C759" w:rsidR="0077224A" w:rsidRPr="00656E7A" w:rsidRDefault="009B2117" w:rsidP="00E66D8A">
            <w:pPr>
              <w:pStyle w:val="AttH-1H"/>
              <w:numPr>
                <w:ilvl w:val="0"/>
                <w:numId w:val="0"/>
              </w:numPr>
            </w:pPr>
            <w:r w:rsidRPr="009B2117">
              <w:t>SRSR EXTENDED12 SPACE</w:t>
            </w:r>
          </w:p>
        </w:tc>
      </w:tr>
      <w:tr w:rsidR="009B2117" w14:paraId="1FD12134" w14:textId="77777777" w:rsidTr="00187A34">
        <w:trPr>
          <w:gridAfter w:val="1"/>
          <w:wAfter w:w="18" w:type="dxa"/>
        </w:trPr>
        <w:tc>
          <w:tcPr>
            <w:tcW w:w="715" w:type="dxa"/>
          </w:tcPr>
          <w:p w14:paraId="1AD19293" w14:textId="0C92D215" w:rsidR="009B2117" w:rsidRPr="00656E7A" w:rsidRDefault="009B2117" w:rsidP="009B2117">
            <w:pPr>
              <w:pStyle w:val="AttH-1H"/>
              <w:numPr>
                <w:ilvl w:val="0"/>
                <w:numId w:val="0"/>
              </w:numPr>
            </w:pPr>
            <w:r>
              <w:t>36</w:t>
            </w:r>
          </w:p>
        </w:tc>
        <w:tc>
          <w:tcPr>
            <w:tcW w:w="1710" w:type="dxa"/>
          </w:tcPr>
          <w:p w14:paraId="74F0E34C" w14:textId="4E9E426B" w:rsidR="009B2117" w:rsidRPr="00656E7A" w:rsidRDefault="00FA3978" w:rsidP="009B2117">
            <w:pPr>
              <w:pStyle w:val="AttH-1H"/>
              <w:numPr>
                <w:ilvl w:val="0"/>
                <w:numId w:val="0"/>
              </w:numPr>
            </w:pPr>
            <w:r>
              <w:t>Middle Atlantic</w:t>
            </w:r>
          </w:p>
        </w:tc>
        <w:tc>
          <w:tcPr>
            <w:tcW w:w="540" w:type="dxa"/>
          </w:tcPr>
          <w:p w14:paraId="584CC8E7" w14:textId="6393521B" w:rsidR="009B2117" w:rsidRPr="00656E7A" w:rsidRDefault="009B2117" w:rsidP="009B2117">
            <w:pPr>
              <w:pStyle w:val="AttH-1H"/>
              <w:numPr>
                <w:ilvl w:val="0"/>
                <w:numId w:val="0"/>
              </w:numPr>
            </w:pPr>
            <w:r>
              <w:t>1</w:t>
            </w:r>
          </w:p>
        </w:tc>
        <w:tc>
          <w:tcPr>
            <w:tcW w:w="1800" w:type="dxa"/>
          </w:tcPr>
          <w:p w14:paraId="14C42E25" w14:textId="7C766D92" w:rsidR="009B2117" w:rsidRPr="00656E7A" w:rsidRDefault="009B2117" w:rsidP="009B2117">
            <w:pPr>
              <w:pStyle w:val="AttH-1H"/>
              <w:numPr>
                <w:ilvl w:val="0"/>
                <w:numId w:val="0"/>
              </w:numPr>
            </w:pPr>
            <w:r w:rsidRPr="009B2117">
              <w:t>U1V</w:t>
            </w:r>
          </w:p>
        </w:tc>
        <w:tc>
          <w:tcPr>
            <w:tcW w:w="3712" w:type="dxa"/>
          </w:tcPr>
          <w:p w14:paraId="452B0E51" w14:textId="5D3EF82B" w:rsidR="009B2117" w:rsidRPr="00656E7A" w:rsidRDefault="00191111" w:rsidP="009B2117">
            <w:pPr>
              <w:pStyle w:val="AttH-1H"/>
              <w:numPr>
                <w:ilvl w:val="0"/>
                <w:numId w:val="0"/>
              </w:numPr>
            </w:pPr>
            <w:r w:rsidRPr="00191111">
              <w:t>1SP VENTED UTILITY SHELF</w:t>
            </w:r>
          </w:p>
        </w:tc>
      </w:tr>
      <w:tr w:rsidR="009B2117" w14:paraId="291BDCDA" w14:textId="77777777" w:rsidTr="00187A34">
        <w:trPr>
          <w:gridAfter w:val="1"/>
          <w:wAfter w:w="18" w:type="dxa"/>
        </w:trPr>
        <w:tc>
          <w:tcPr>
            <w:tcW w:w="715" w:type="dxa"/>
            <w:tcBorders>
              <w:bottom w:val="single" w:sz="4" w:space="0" w:color="auto"/>
            </w:tcBorders>
          </w:tcPr>
          <w:p w14:paraId="22D99A8C" w14:textId="0CD394A0" w:rsidR="009B2117" w:rsidRPr="00656E7A" w:rsidRDefault="00191111" w:rsidP="009B2117">
            <w:pPr>
              <w:pStyle w:val="AttH-1H"/>
              <w:numPr>
                <w:ilvl w:val="0"/>
                <w:numId w:val="0"/>
              </w:numPr>
            </w:pPr>
            <w:r>
              <w:t>37</w:t>
            </w:r>
          </w:p>
        </w:tc>
        <w:tc>
          <w:tcPr>
            <w:tcW w:w="1710" w:type="dxa"/>
            <w:tcBorders>
              <w:bottom w:val="single" w:sz="4" w:space="0" w:color="auto"/>
            </w:tcBorders>
          </w:tcPr>
          <w:p w14:paraId="110AC1D5" w14:textId="0B2B7AF1" w:rsidR="009B2117" w:rsidRPr="00656E7A" w:rsidRDefault="00FA3978" w:rsidP="009B2117">
            <w:pPr>
              <w:pStyle w:val="AttH-1H"/>
              <w:numPr>
                <w:ilvl w:val="0"/>
                <w:numId w:val="0"/>
              </w:numPr>
            </w:pPr>
            <w:r>
              <w:t>Middle Atlantic</w:t>
            </w:r>
          </w:p>
        </w:tc>
        <w:tc>
          <w:tcPr>
            <w:tcW w:w="540" w:type="dxa"/>
            <w:tcBorders>
              <w:bottom w:val="single" w:sz="4" w:space="0" w:color="auto"/>
            </w:tcBorders>
          </w:tcPr>
          <w:p w14:paraId="64BABB1A" w14:textId="6F67F7E4" w:rsidR="009B2117" w:rsidRPr="00656E7A" w:rsidRDefault="00191111" w:rsidP="009B2117">
            <w:pPr>
              <w:pStyle w:val="AttH-1H"/>
              <w:numPr>
                <w:ilvl w:val="0"/>
                <w:numId w:val="0"/>
              </w:numPr>
            </w:pPr>
            <w:r>
              <w:t>1</w:t>
            </w:r>
          </w:p>
        </w:tc>
        <w:tc>
          <w:tcPr>
            <w:tcW w:w="1800" w:type="dxa"/>
            <w:tcBorders>
              <w:bottom w:val="single" w:sz="4" w:space="0" w:color="auto"/>
            </w:tcBorders>
          </w:tcPr>
          <w:p w14:paraId="6AA8D385" w14:textId="4CF54679" w:rsidR="009B2117" w:rsidRPr="00656E7A" w:rsidRDefault="00191111" w:rsidP="009B2117">
            <w:pPr>
              <w:pStyle w:val="AttH-1H"/>
              <w:numPr>
                <w:ilvl w:val="0"/>
                <w:numId w:val="0"/>
              </w:numPr>
            </w:pPr>
            <w:r w:rsidRPr="00191111">
              <w:t>U317</w:t>
            </w:r>
          </w:p>
        </w:tc>
        <w:tc>
          <w:tcPr>
            <w:tcW w:w="3712" w:type="dxa"/>
            <w:tcBorders>
              <w:bottom w:val="single" w:sz="4" w:space="0" w:color="auto"/>
            </w:tcBorders>
          </w:tcPr>
          <w:p w14:paraId="69C797EA" w14:textId="3137F4F6" w:rsidR="009B2117" w:rsidRPr="00656E7A" w:rsidRDefault="00191111" w:rsidP="009B2117">
            <w:pPr>
              <w:pStyle w:val="AttH-1H"/>
              <w:numPr>
                <w:ilvl w:val="0"/>
                <w:numId w:val="0"/>
              </w:numPr>
            </w:pPr>
            <w:r w:rsidRPr="00191111">
              <w:t>3SP RACKSHELF 17DP</w:t>
            </w:r>
          </w:p>
        </w:tc>
      </w:tr>
      <w:tr w:rsidR="00FA3978" w14:paraId="04F6EED9" w14:textId="77777777" w:rsidTr="00090BB6">
        <w:tc>
          <w:tcPr>
            <w:tcW w:w="8495" w:type="dxa"/>
            <w:gridSpan w:val="6"/>
          </w:tcPr>
          <w:p w14:paraId="3045E88B" w14:textId="6A3AA521" w:rsidR="00FA3978" w:rsidRPr="00656E7A" w:rsidRDefault="00FA3978" w:rsidP="009B2117">
            <w:pPr>
              <w:pStyle w:val="AttH-1H"/>
              <w:numPr>
                <w:ilvl w:val="0"/>
                <w:numId w:val="0"/>
              </w:numPr>
            </w:pPr>
            <w:r w:rsidRPr="00FA3978">
              <w:rPr>
                <w:b/>
                <w:bCs/>
              </w:rPr>
              <w:t>MATERIALS</w:t>
            </w:r>
          </w:p>
        </w:tc>
      </w:tr>
      <w:tr w:rsidR="00FA3978" w14:paraId="1C28EC5E" w14:textId="77777777" w:rsidTr="00187A34">
        <w:trPr>
          <w:gridAfter w:val="1"/>
          <w:wAfter w:w="18" w:type="dxa"/>
        </w:trPr>
        <w:tc>
          <w:tcPr>
            <w:tcW w:w="715" w:type="dxa"/>
          </w:tcPr>
          <w:p w14:paraId="4D7B49EB" w14:textId="77777777" w:rsidR="00FA3978" w:rsidRPr="00656E7A" w:rsidRDefault="00FA3978" w:rsidP="009B2117">
            <w:pPr>
              <w:pStyle w:val="AttH-1H"/>
              <w:numPr>
                <w:ilvl w:val="0"/>
                <w:numId w:val="0"/>
              </w:numPr>
            </w:pPr>
          </w:p>
        </w:tc>
        <w:tc>
          <w:tcPr>
            <w:tcW w:w="1710" w:type="dxa"/>
          </w:tcPr>
          <w:p w14:paraId="0DCF99CF" w14:textId="358A9299" w:rsidR="00FA3978" w:rsidRPr="00656E7A" w:rsidRDefault="00FA3978" w:rsidP="009B2117">
            <w:pPr>
              <w:pStyle w:val="AttH-1H"/>
              <w:numPr>
                <w:ilvl w:val="0"/>
                <w:numId w:val="0"/>
              </w:numPr>
            </w:pPr>
            <w:r>
              <w:t xml:space="preserve">Wire, Cables &amp; </w:t>
            </w:r>
            <w:r w:rsidR="00D111D2">
              <w:t>Connectors</w:t>
            </w:r>
          </w:p>
        </w:tc>
        <w:tc>
          <w:tcPr>
            <w:tcW w:w="540" w:type="dxa"/>
          </w:tcPr>
          <w:p w14:paraId="704C6114" w14:textId="77777777" w:rsidR="00FA3978" w:rsidRPr="00656E7A" w:rsidRDefault="00FA3978" w:rsidP="009B2117">
            <w:pPr>
              <w:pStyle w:val="AttH-1H"/>
              <w:numPr>
                <w:ilvl w:val="0"/>
                <w:numId w:val="0"/>
              </w:numPr>
            </w:pPr>
          </w:p>
        </w:tc>
        <w:tc>
          <w:tcPr>
            <w:tcW w:w="1800" w:type="dxa"/>
          </w:tcPr>
          <w:p w14:paraId="3D353606" w14:textId="77777777" w:rsidR="00FA3978" w:rsidRPr="00656E7A" w:rsidRDefault="00FA3978" w:rsidP="009B2117">
            <w:pPr>
              <w:pStyle w:val="AttH-1H"/>
              <w:numPr>
                <w:ilvl w:val="0"/>
                <w:numId w:val="0"/>
              </w:numPr>
            </w:pPr>
          </w:p>
        </w:tc>
        <w:tc>
          <w:tcPr>
            <w:tcW w:w="3712" w:type="dxa"/>
          </w:tcPr>
          <w:p w14:paraId="3D666477" w14:textId="77777777" w:rsidR="00FA3978" w:rsidRPr="00656E7A" w:rsidRDefault="00FA3978" w:rsidP="009B2117">
            <w:pPr>
              <w:pStyle w:val="AttH-1H"/>
              <w:numPr>
                <w:ilvl w:val="0"/>
                <w:numId w:val="0"/>
              </w:numPr>
            </w:pPr>
          </w:p>
        </w:tc>
      </w:tr>
    </w:tbl>
    <w:p w14:paraId="1AB0904C" w14:textId="5FD2CE4C" w:rsidR="00187A34" w:rsidRDefault="00187A34" w:rsidP="00725F97">
      <w:pPr>
        <w:pStyle w:val="AttH-2H"/>
        <w:numPr>
          <w:ilvl w:val="0"/>
          <w:numId w:val="0"/>
        </w:numPr>
      </w:pPr>
    </w:p>
    <w:p w14:paraId="35411C37" w14:textId="77777777" w:rsidR="00187A34" w:rsidRDefault="00187A34">
      <w:r>
        <w:br w:type="page"/>
      </w:r>
    </w:p>
    <w:p w14:paraId="1FF2F4A2" w14:textId="66684545" w:rsidR="00C33687" w:rsidRDefault="00C33687" w:rsidP="00C33687">
      <w:pPr>
        <w:pStyle w:val="AttH-1H"/>
        <w:numPr>
          <w:ilvl w:val="0"/>
          <w:numId w:val="0"/>
        </w:numPr>
        <w:ind w:left="1350"/>
        <w:rPr>
          <w:sz w:val="40"/>
          <w:szCs w:val="40"/>
        </w:rPr>
      </w:pPr>
      <w:r>
        <w:rPr>
          <w:b/>
          <w:bCs/>
          <w:sz w:val="40"/>
          <w:szCs w:val="40"/>
        </w:rPr>
        <w:lastRenderedPageBreak/>
        <w:t>Exhibit</w:t>
      </w:r>
      <w:r w:rsidRPr="00D955A0">
        <w:rPr>
          <w:b/>
          <w:bCs/>
          <w:sz w:val="40"/>
          <w:szCs w:val="40"/>
        </w:rPr>
        <w:t xml:space="preserve"> </w:t>
      </w:r>
      <w:r>
        <w:rPr>
          <w:b/>
          <w:bCs/>
          <w:sz w:val="40"/>
          <w:szCs w:val="40"/>
        </w:rPr>
        <w:t>A</w:t>
      </w:r>
      <w:r>
        <w:rPr>
          <w:sz w:val="40"/>
          <w:szCs w:val="40"/>
        </w:rPr>
        <w:t xml:space="preserve"> – </w:t>
      </w:r>
      <w:r w:rsidRPr="00C33687">
        <w:rPr>
          <w:sz w:val="40"/>
          <w:szCs w:val="40"/>
        </w:rPr>
        <w:t>Federally Required and Other Model Contract Clauses</w:t>
      </w:r>
      <w:r w:rsidR="00E91F09">
        <w:rPr>
          <w:sz w:val="40"/>
          <w:szCs w:val="40"/>
        </w:rPr>
        <w:t xml:space="preserve"> </w:t>
      </w:r>
    </w:p>
    <w:p w14:paraId="0A57A7F3" w14:textId="4936644C" w:rsidR="00F6113A" w:rsidRDefault="00E91F09" w:rsidP="00C33687">
      <w:pPr>
        <w:pStyle w:val="AttH-2H"/>
        <w:numPr>
          <w:ilvl w:val="0"/>
          <w:numId w:val="0"/>
        </w:numPr>
        <w:ind w:left="1350"/>
        <w:rPr>
          <w:rStyle w:val="Hyperlink"/>
        </w:rPr>
      </w:pPr>
      <w:hyperlink r:id="rId11" w:history="1">
        <w:r w:rsidRPr="008E2F9E">
          <w:rPr>
            <w:rStyle w:val="Hyperlink"/>
          </w:rPr>
          <w:t>https://www.transit.dot.gov/funding/procurement/best-practices-procurement-manual</w:t>
        </w:r>
      </w:hyperlink>
    </w:p>
    <w:p w14:paraId="7577038B" w14:textId="77777777" w:rsidR="00FB0AB6" w:rsidRPr="003B27CD" w:rsidRDefault="00FB0AB6" w:rsidP="00FB0AB6">
      <w:pPr>
        <w:pStyle w:val="NoSpacing"/>
        <w:rPr>
          <w:rFonts w:cstheme="minorHAnsi"/>
          <w:b/>
        </w:rPr>
      </w:pPr>
      <w:r w:rsidRPr="003B27CD">
        <w:rPr>
          <w:rFonts w:cstheme="minorHAnsi"/>
          <w:b/>
        </w:rPr>
        <w:t>ACCESS TO RECORDS AND REPORTS</w:t>
      </w:r>
    </w:p>
    <w:p w14:paraId="71CFD5E4" w14:textId="77777777" w:rsidR="00FB0AB6" w:rsidRPr="003B27CD" w:rsidRDefault="00FB0AB6" w:rsidP="00FB0AB6">
      <w:pPr>
        <w:pStyle w:val="NoSpacing"/>
        <w:rPr>
          <w:rFonts w:cstheme="minorHAnsi"/>
        </w:rPr>
      </w:pPr>
      <w:r w:rsidRPr="003B27CD">
        <w:rPr>
          <w:rFonts w:cstheme="minorHAnsi"/>
        </w:rPr>
        <w:t>49 U.S.C. § 5325(g) 2 C.F.R. § 200.333 49 C.F.R. part 633</w:t>
      </w:r>
    </w:p>
    <w:p w14:paraId="4D4D8955" w14:textId="77777777" w:rsidR="00FB0AB6" w:rsidRPr="003B27CD" w:rsidRDefault="00FB0AB6" w:rsidP="00FB0AB6">
      <w:pPr>
        <w:pStyle w:val="NoSpacing"/>
        <w:rPr>
          <w:rFonts w:cstheme="minorHAnsi"/>
        </w:rPr>
      </w:pPr>
    </w:p>
    <w:p w14:paraId="329A654F" w14:textId="77777777" w:rsidR="00FB0AB6" w:rsidRPr="003B27CD" w:rsidRDefault="00FB0AB6" w:rsidP="00FB0AB6">
      <w:pPr>
        <w:pStyle w:val="ListParagraph"/>
        <w:numPr>
          <w:ilvl w:val="0"/>
          <w:numId w:val="6"/>
        </w:numPr>
        <w:spacing w:after="200" w:line="276" w:lineRule="auto"/>
        <w:rPr>
          <w:rFonts w:cstheme="minorHAnsi"/>
          <w:b/>
        </w:rPr>
      </w:pPr>
      <w:r w:rsidRPr="003B27CD">
        <w:rPr>
          <w:rFonts w:cstheme="minorHAnsi"/>
        </w:rPr>
        <w:t xml:space="preserve">Record Retention. The Contractor will </w:t>
      </w:r>
      <w:proofErr w:type="gramStart"/>
      <w:r w:rsidRPr="003B27CD">
        <w:rPr>
          <w:rFonts w:cstheme="minorHAnsi"/>
        </w:rPr>
        <w:t>retain, and</w:t>
      </w:r>
      <w:proofErr w:type="gramEnd"/>
      <w:r w:rsidRPr="003B27CD">
        <w:rPr>
          <w:rFonts w:cstheme="minorHAnsi"/>
        </w:rPr>
        <w:t xml:space="preserve"> will require its subcontractors of all tiers to retain, complete and readily accessible records related in whole or in part to the contract, including, but not limited to, data, documents, reports, statistics, sub-agreements, leases, subcontracts, arrangements, other third party agreements of any type, and supporting materials related to those records.</w:t>
      </w:r>
    </w:p>
    <w:p w14:paraId="682D62F6" w14:textId="77777777" w:rsidR="00FB0AB6" w:rsidRPr="003B27CD" w:rsidRDefault="00FB0AB6" w:rsidP="00FB0AB6">
      <w:pPr>
        <w:pStyle w:val="ListParagraph"/>
        <w:numPr>
          <w:ilvl w:val="0"/>
          <w:numId w:val="6"/>
        </w:numPr>
        <w:spacing w:after="200" w:line="276" w:lineRule="auto"/>
        <w:rPr>
          <w:rFonts w:cstheme="minorHAnsi"/>
          <w:b/>
        </w:rPr>
      </w:pPr>
      <w:r w:rsidRPr="003B27CD">
        <w:rPr>
          <w:rFonts w:cstheme="minorHAnsi"/>
        </w:rPr>
        <w:t>Retention Period. The Contractor agrees to comply with the record retention requirements in accordance with 2 C.F.R. § 200.333. The Contractor shall maintain all books, records, accounts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303A5A59" w14:textId="77777777" w:rsidR="00FB0AB6" w:rsidRPr="003B27CD" w:rsidRDefault="00FB0AB6" w:rsidP="00FB0AB6">
      <w:pPr>
        <w:pStyle w:val="ListParagraph"/>
        <w:numPr>
          <w:ilvl w:val="0"/>
          <w:numId w:val="6"/>
        </w:numPr>
        <w:spacing w:after="200" w:line="276" w:lineRule="auto"/>
        <w:rPr>
          <w:rFonts w:cstheme="minorHAnsi"/>
          <w:b/>
        </w:rPr>
      </w:pPr>
      <w:r w:rsidRPr="003B27CD">
        <w:rPr>
          <w:rFonts w:cstheme="minorHAnsi"/>
        </w:rPr>
        <w:t xml:space="preserve"> Access to Records. The Contractor agrees to provide sufficient access to FTA and its contractors to inspect and audit records and information related to performance of this contract as reasonably may be required.</w:t>
      </w:r>
    </w:p>
    <w:p w14:paraId="6EABE725" w14:textId="0A95F254" w:rsidR="00FB0AB6" w:rsidRPr="003B27CD" w:rsidRDefault="00FB0AB6" w:rsidP="00FB0AB6">
      <w:pPr>
        <w:pStyle w:val="ListParagraph"/>
        <w:numPr>
          <w:ilvl w:val="0"/>
          <w:numId w:val="6"/>
        </w:numPr>
        <w:spacing w:after="200" w:line="276" w:lineRule="auto"/>
        <w:rPr>
          <w:rFonts w:cstheme="minorHAnsi"/>
          <w:b/>
        </w:rPr>
      </w:pPr>
      <w:r w:rsidRPr="003B27CD">
        <w:rPr>
          <w:rFonts w:cstheme="minorHAnsi"/>
        </w:rPr>
        <w:t xml:space="preserve"> Access to the Sites of Performance. The Contractor agrees to permit FTA and its </w:t>
      </w:r>
      <w:proofErr w:type="gramStart"/>
      <w:r w:rsidRPr="003B27CD">
        <w:rPr>
          <w:rFonts w:cstheme="minorHAnsi"/>
        </w:rPr>
        <w:t>contractors</w:t>
      </w:r>
      <w:proofErr w:type="gramEnd"/>
      <w:r w:rsidRPr="003B27CD">
        <w:rPr>
          <w:rFonts w:cstheme="minorHAnsi"/>
        </w:rPr>
        <w:t xml:space="preserve"> access to the sites of performance under this contract as reasonably may be required.</w:t>
      </w:r>
    </w:p>
    <w:p w14:paraId="53CF725F" w14:textId="77777777" w:rsidR="00FB0AB6" w:rsidRPr="003B27CD" w:rsidRDefault="00FB0AB6" w:rsidP="00FB0AB6">
      <w:pPr>
        <w:pStyle w:val="NoSpacing"/>
        <w:rPr>
          <w:rFonts w:cstheme="minorHAnsi"/>
          <w:b/>
        </w:rPr>
      </w:pPr>
      <w:r w:rsidRPr="003B27CD">
        <w:rPr>
          <w:rFonts w:cstheme="minorHAnsi"/>
          <w:b/>
        </w:rPr>
        <w:t>BUY AMERICA</w:t>
      </w:r>
    </w:p>
    <w:p w14:paraId="58639122" w14:textId="77777777" w:rsidR="00FB0AB6" w:rsidRPr="003B27CD" w:rsidRDefault="00FB0AB6" w:rsidP="00FB0AB6">
      <w:pPr>
        <w:pStyle w:val="NoSpacing"/>
        <w:rPr>
          <w:rFonts w:cstheme="minorHAnsi"/>
        </w:rPr>
      </w:pPr>
      <w:r w:rsidRPr="003B27CD">
        <w:rPr>
          <w:rFonts w:cstheme="minorHAnsi"/>
        </w:rPr>
        <w:t>49 U.S.C. 5323(j) 49 C.F.R. part 661</w:t>
      </w:r>
    </w:p>
    <w:p w14:paraId="7EC3B165" w14:textId="77777777" w:rsidR="00FB0AB6" w:rsidRDefault="00FB0AB6" w:rsidP="00FB0AB6">
      <w:pPr>
        <w:rPr>
          <w:rFonts w:cstheme="minorHAnsi"/>
        </w:rPr>
      </w:pPr>
      <w:r w:rsidRPr="003B27CD">
        <w:rPr>
          <w:rFonts w:cstheme="minorHAnsi"/>
        </w:rPr>
        <w:t>The contractor agrees to comply with 49 U.S.C. 5323(j) and 49 C.F.R. part 661, which provide that Federal funds may not be obligated unless all steel, iron, and manufactured products used in FTA funded projects are produced in the United States, unless a waiver has been granted by FTA or the product is subject to a general waiver. General waivers are listed in 49 C.F.R. § 661.7. Separate requirements for rolling stock are set out at 49 U.S.C. 5323(j)(2)(C) and 49 C.F.R. § 661.11.</w:t>
      </w:r>
    </w:p>
    <w:p w14:paraId="5B79B3DF" w14:textId="5E794868" w:rsidR="00C96102" w:rsidRDefault="00C96102">
      <w:pPr>
        <w:rPr>
          <w:rFonts w:cstheme="minorHAnsi"/>
        </w:rPr>
      </w:pPr>
      <w:r>
        <w:rPr>
          <w:rFonts w:cstheme="minorHAnsi"/>
        </w:rPr>
        <w:br w:type="page"/>
      </w:r>
    </w:p>
    <w:p w14:paraId="34796D0C" w14:textId="77777777" w:rsidR="00FB0AB6" w:rsidRPr="003B27CD" w:rsidRDefault="00FB0AB6" w:rsidP="00FB0AB6">
      <w:pPr>
        <w:rPr>
          <w:rFonts w:cstheme="minorHAnsi"/>
        </w:rPr>
      </w:pPr>
      <w:r w:rsidRPr="003B27CD">
        <w:rPr>
          <w:rFonts w:cstheme="minorHAnsi"/>
        </w:rPr>
        <w:lastRenderedPageBreak/>
        <w:t>The [bidder or offeror] must submit to [Recipient] the appropriate Buy America certification below with its [bid or offer]. Bids or offers that are not accompanied by a completed Buy America certification will be rejected as nonresponsive.</w:t>
      </w:r>
    </w:p>
    <w:p w14:paraId="31593ADB" w14:textId="77777777" w:rsidR="00FB0AB6" w:rsidRPr="003B27CD" w:rsidRDefault="00FB0AB6" w:rsidP="00FB0AB6">
      <w:pPr>
        <w:ind w:firstLine="720"/>
        <w:rPr>
          <w:rFonts w:cstheme="minorHAnsi"/>
          <w:b/>
        </w:rPr>
      </w:pPr>
      <w:r w:rsidRPr="003B27CD">
        <w:rPr>
          <w:rFonts w:cstheme="minorHAnsi"/>
          <w:b/>
        </w:rPr>
        <w:t xml:space="preserve">In accordance with 49 C.F.R. § 661.6, for the procurement of steel, </w:t>
      </w:r>
      <w:proofErr w:type="gramStart"/>
      <w:r w:rsidRPr="003B27CD">
        <w:rPr>
          <w:rFonts w:cstheme="minorHAnsi"/>
          <w:b/>
        </w:rPr>
        <w:t>iron</w:t>
      </w:r>
      <w:proofErr w:type="gramEnd"/>
      <w:r w:rsidRPr="003B27CD">
        <w:rPr>
          <w:rFonts w:cstheme="minorHAnsi"/>
          <w:b/>
        </w:rPr>
        <w:t xml:space="preserve"> or manufactured products, use the certifications below.</w:t>
      </w:r>
    </w:p>
    <w:p w14:paraId="4733A0B3" w14:textId="77777777" w:rsidR="00FB0AB6" w:rsidRPr="003B27CD" w:rsidRDefault="00FB0AB6" w:rsidP="00FB0AB6">
      <w:pPr>
        <w:ind w:firstLine="720"/>
        <w:rPr>
          <w:rFonts w:cstheme="minorHAnsi"/>
          <w:b/>
        </w:rPr>
      </w:pPr>
    </w:p>
    <w:p w14:paraId="22A8D543" w14:textId="77777777" w:rsidR="00FB0AB6" w:rsidRPr="003B27CD" w:rsidRDefault="00FB0AB6" w:rsidP="00FB0AB6">
      <w:pPr>
        <w:ind w:firstLine="720"/>
        <w:rPr>
          <w:rFonts w:cstheme="minorHAnsi"/>
        </w:rPr>
      </w:pPr>
      <w:r w:rsidRPr="003B27CD">
        <w:rPr>
          <w:rFonts w:cstheme="minorHAnsi"/>
        </w:rPr>
        <w:t xml:space="preserve">Certificate of Compliance with Buy America Requirements </w:t>
      </w:r>
    </w:p>
    <w:p w14:paraId="420A23D6" w14:textId="77777777" w:rsidR="00FB0AB6" w:rsidRPr="003B27CD" w:rsidRDefault="00FB0AB6" w:rsidP="00FB0AB6">
      <w:pPr>
        <w:ind w:left="720"/>
        <w:rPr>
          <w:rFonts w:cstheme="minorHAnsi"/>
        </w:rPr>
      </w:pPr>
      <w:r w:rsidRPr="003B27CD">
        <w:rPr>
          <w:rFonts w:cstheme="minorHAnsi"/>
        </w:rPr>
        <w:t>The bidder or offeror hereby certifies that it will comply with the requirements of 49 U.S.C. 5323(j)(1), and the applicable regulations in 49 C.F.R. part 661.</w:t>
      </w:r>
    </w:p>
    <w:p w14:paraId="1A0DA0EF" w14:textId="77777777" w:rsidR="00FB0AB6" w:rsidRPr="003B27CD" w:rsidRDefault="00FB0AB6" w:rsidP="00FB0AB6">
      <w:pPr>
        <w:ind w:firstLine="720"/>
        <w:rPr>
          <w:rFonts w:cstheme="minorHAnsi"/>
        </w:rPr>
      </w:pPr>
      <w:r w:rsidRPr="003B27CD">
        <w:rPr>
          <w:rFonts w:cstheme="minorHAnsi"/>
        </w:rPr>
        <w:t>Date: _____________________________________________________</w:t>
      </w:r>
    </w:p>
    <w:p w14:paraId="17E3C2A6" w14:textId="77777777" w:rsidR="00FB0AB6" w:rsidRPr="003B27CD" w:rsidRDefault="00FB0AB6" w:rsidP="00FB0AB6">
      <w:pPr>
        <w:ind w:firstLine="720"/>
        <w:rPr>
          <w:rFonts w:cstheme="minorHAnsi"/>
        </w:rPr>
      </w:pPr>
      <w:r w:rsidRPr="003B27CD">
        <w:rPr>
          <w:rFonts w:cstheme="minorHAnsi"/>
        </w:rPr>
        <w:t>Signature: _________________________________________________</w:t>
      </w:r>
    </w:p>
    <w:p w14:paraId="17AF1B45" w14:textId="77777777" w:rsidR="00FB0AB6" w:rsidRPr="003B27CD" w:rsidRDefault="00FB0AB6" w:rsidP="00FB0AB6">
      <w:pPr>
        <w:ind w:firstLine="720"/>
        <w:rPr>
          <w:rFonts w:cstheme="minorHAnsi"/>
        </w:rPr>
      </w:pPr>
      <w:r w:rsidRPr="003B27CD">
        <w:rPr>
          <w:rFonts w:cstheme="minorHAnsi"/>
        </w:rPr>
        <w:t>Company: _________________________________________________</w:t>
      </w:r>
    </w:p>
    <w:p w14:paraId="33B5EC0D" w14:textId="77777777" w:rsidR="00FB0AB6" w:rsidRPr="003B27CD" w:rsidRDefault="00FB0AB6" w:rsidP="00FB0AB6">
      <w:pPr>
        <w:ind w:firstLine="720"/>
        <w:rPr>
          <w:rFonts w:cstheme="minorHAnsi"/>
        </w:rPr>
      </w:pPr>
      <w:r w:rsidRPr="003B27CD">
        <w:rPr>
          <w:rFonts w:cstheme="minorHAnsi"/>
        </w:rPr>
        <w:t>Name: ____________________________________________________</w:t>
      </w:r>
    </w:p>
    <w:p w14:paraId="652D7B39" w14:textId="77777777" w:rsidR="00FB0AB6" w:rsidRPr="003B27CD" w:rsidRDefault="00FB0AB6" w:rsidP="00FB0AB6">
      <w:pPr>
        <w:ind w:firstLine="720"/>
        <w:rPr>
          <w:rFonts w:cstheme="minorHAnsi"/>
        </w:rPr>
      </w:pPr>
      <w:r w:rsidRPr="003B27CD">
        <w:rPr>
          <w:rFonts w:cstheme="minorHAnsi"/>
        </w:rPr>
        <w:t>Title: _____________________________________________________</w:t>
      </w:r>
    </w:p>
    <w:p w14:paraId="1CDD2502" w14:textId="77777777" w:rsidR="00FB0AB6" w:rsidRPr="003B27CD" w:rsidRDefault="00FB0AB6" w:rsidP="00FB0AB6">
      <w:pPr>
        <w:ind w:firstLine="720"/>
        <w:rPr>
          <w:rFonts w:cstheme="minorHAnsi"/>
        </w:rPr>
      </w:pPr>
    </w:p>
    <w:p w14:paraId="6AE17565" w14:textId="77777777" w:rsidR="00FB0AB6" w:rsidRPr="003B27CD" w:rsidRDefault="00FB0AB6" w:rsidP="00FB0AB6">
      <w:pPr>
        <w:ind w:firstLine="720"/>
        <w:rPr>
          <w:rFonts w:cstheme="minorHAnsi"/>
        </w:rPr>
      </w:pPr>
      <w:r w:rsidRPr="003B27CD">
        <w:rPr>
          <w:rFonts w:cstheme="minorHAnsi"/>
        </w:rPr>
        <w:t>Certificate of Non-Compliance with Buy America Requirements</w:t>
      </w:r>
    </w:p>
    <w:p w14:paraId="6661A251" w14:textId="77777777" w:rsidR="00FB0AB6" w:rsidRPr="003B27CD" w:rsidRDefault="00FB0AB6" w:rsidP="00FB0AB6">
      <w:pPr>
        <w:ind w:left="720"/>
        <w:rPr>
          <w:rFonts w:cstheme="minorHAnsi"/>
        </w:rPr>
      </w:pPr>
      <w:r w:rsidRPr="003B27CD">
        <w:rPr>
          <w:rFonts w:cstheme="minorHAnsi"/>
        </w:rPr>
        <w:t>The bidder or offeror hereby certifies that it cannot comply with the requirements of 49 U.S.C. 5323(j), but it may qualify for an exception to the requirement pursuant to 49 U.S.C. 5323(j)(2), as amended, and the applicable regulations in 49 C.F.R. § 661.7.</w:t>
      </w:r>
    </w:p>
    <w:p w14:paraId="4A9CFCBB" w14:textId="77777777" w:rsidR="00FB0AB6" w:rsidRPr="003B27CD" w:rsidRDefault="00FB0AB6" w:rsidP="00FB0AB6">
      <w:pPr>
        <w:ind w:firstLine="720"/>
        <w:rPr>
          <w:rFonts w:cstheme="minorHAnsi"/>
        </w:rPr>
      </w:pPr>
      <w:r w:rsidRPr="003B27CD">
        <w:rPr>
          <w:rFonts w:cstheme="minorHAnsi"/>
        </w:rPr>
        <w:t>Date: _____________________________________________________</w:t>
      </w:r>
    </w:p>
    <w:p w14:paraId="03985CB7" w14:textId="77777777" w:rsidR="00FB0AB6" w:rsidRPr="003B27CD" w:rsidRDefault="00FB0AB6" w:rsidP="00FB0AB6">
      <w:pPr>
        <w:ind w:firstLine="720"/>
        <w:rPr>
          <w:rFonts w:cstheme="minorHAnsi"/>
        </w:rPr>
      </w:pPr>
      <w:r w:rsidRPr="003B27CD">
        <w:rPr>
          <w:rFonts w:cstheme="minorHAnsi"/>
        </w:rPr>
        <w:t>Signature: _________________________________________________</w:t>
      </w:r>
    </w:p>
    <w:p w14:paraId="0729969A" w14:textId="77777777" w:rsidR="00FB0AB6" w:rsidRPr="003B27CD" w:rsidRDefault="00FB0AB6" w:rsidP="00FB0AB6">
      <w:pPr>
        <w:ind w:firstLine="720"/>
        <w:rPr>
          <w:rFonts w:cstheme="minorHAnsi"/>
        </w:rPr>
      </w:pPr>
      <w:r w:rsidRPr="003B27CD">
        <w:rPr>
          <w:rFonts w:cstheme="minorHAnsi"/>
        </w:rPr>
        <w:t>Company: _________________________________________________</w:t>
      </w:r>
    </w:p>
    <w:p w14:paraId="6183354F" w14:textId="77777777" w:rsidR="00FB0AB6" w:rsidRPr="003B27CD" w:rsidRDefault="00FB0AB6" w:rsidP="00FB0AB6">
      <w:pPr>
        <w:ind w:firstLine="720"/>
        <w:rPr>
          <w:rFonts w:cstheme="minorHAnsi"/>
        </w:rPr>
      </w:pPr>
      <w:r w:rsidRPr="003B27CD">
        <w:rPr>
          <w:rFonts w:cstheme="minorHAnsi"/>
        </w:rPr>
        <w:t>Name: ____________________________________________________</w:t>
      </w:r>
    </w:p>
    <w:p w14:paraId="01A10DB7" w14:textId="77777777" w:rsidR="00FB0AB6" w:rsidRPr="003B27CD" w:rsidRDefault="00FB0AB6" w:rsidP="00FB0AB6">
      <w:pPr>
        <w:ind w:firstLine="720"/>
        <w:rPr>
          <w:rFonts w:cstheme="minorHAnsi"/>
        </w:rPr>
      </w:pPr>
      <w:r w:rsidRPr="003B27CD">
        <w:rPr>
          <w:rFonts w:cstheme="minorHAnsi"/>
        </w:rPr>
        <w:t>Title: _____________________________________________________</w:t>
      </w:r>
    </w:p>
    <w:p w14:paraId="1A97DC2E" w14:textId="189CBA24" w:rsidR="00DD66A8" w:rsidRPr="003B27CD" w:rsidRDefault="00DD66A8">
      <w:pPr>
        <w:rPr>
          <w:rFonts w:cstheme="minorHAnsi"/>
        </w:rPr>
      </w:pPr>
      <w:r w:rsidRPr="003B27CD">
        <w:rPr>
          <w:rFonts w:cstheme="minorHAnsi"/>
        </w:rPr>
        <w:br w:type="page"/>
      </w:r>
    </w:p>
    <w:p w14:paraId="5A1D9537" w14:textId="77777777" w:rsidR="00FB0AB6" w:rsidRPr="003B27CD" w:rsidRDefault="00FB0AB6" w:rsidP="00FB0AB6">
      <w:pPr>
        <w:pStyle w:val="NoSpacing"/>
        <w:rPr>
          <w:rFonts w:cstheme="minorHAnsi"/>
          <w:b/>
        </w:rPr>
      </w:pPr>
      <w:r w:rsidRPr="003B27CD">
        <w:rPr>
          <w:rFonts w:cstheme="minorHAnsi"/>
          <w:b/>
        </w:rPr>
        <w:lastRenderedPageBreak/>
        <w:t>CARGO PREFERENCE – Use of United States-Flag Vessels</w:t>
      </w:r>
    </w:p>
    <w:p w14:paraId="3BF23D04" w14:textId="77777777" w:rsidR="00FB0AB6" w:rsidRPr="003B27CD" w:rsidRDefault="00FB0AB6" w:rsidP="00FB0AB6">
      <w:pPr>
        <w:pStyle w:val="NoSpacing"/>
        <w:rPr>
          <w:rFonts w:cstheme="minorHAnsi"/>
        </w:rPr>
      </w:pPr>
      <w:r w:rsidRPr="003B27CD">
        <w:rPr>
          <w:rFonts w:cstheme="minorHAnsi"/>
        </w:rPr>
        <w:t>46 U.S.C. § 55305 46 C.F.R. part 381</w:t>
      </w:r>
    </w:p>
    <w:p w14:paraId="571B9AB8" w14:textId="77777777" w:rsidR="00FB0AB6" w:rsidRPr="003B27CD" w:rsidRDefault="00FB0AB6" w:rsidP="00FB0AB6">
      <w:pPr>
        <w:pStyle w:val="NoSpacing"/>
        <w:rPr>
          <w:rFonts w:cstheme="minorHAnsi"/>
        </w:rPr>
      </w:pPr>
    </w:p>
    <w:p w14:paraId="590B5DA2" w14:textId="77777777" w:rsidR="00FB0AB6" w:rsidRPr="003B27CD" w:rsidRDefault="00FB0AB6" w:rsidP="00FB0AB6">
      <w:pPr>
        <w:rPr>
          <w:rFonts w:cstheme="minorHAnsi"/>
        </w:rPr>
      </w:pPr>
      <w:r w:rsidRPr="003B27CD">
        <w:rPr>
          <w:rFonts w:cstheme="minorHAnsi"/>
        </w:rPr>
        <w:t>The contractor agrees:</w:t>
      </w:r>
    </w:p>
    <w:p w14:paraId="2413F30F" w14:textId="77777777" w:rsidR="00FB0AB6" w:rsidRPr="003B27CD" w:rsidRDefault="00FB0AB6" w:rsidP="00FB0AB6">
      <w:pPr>
        <w:pStyle w:val="ListParagraph"/>
        <w:numPr>
          <w:ilvl w:val="0"/>
          <w:numId w:val="7"/>
        </w:numPr>
        <w:spacing w:after="200" w:line="276" w:lineRule="auto"/>
        <w:rPr>
          <w:rFonts w:cstheme="minorHAnsi"/>
        </w:rPr>
      </w:pPr>
      <w:r w:rsidRPr="003B27CD">
        <w:rPr>
          <w:rFonts w:cstheme="minorHAnsi"/>
        </w:rPr>
        <w:t xml:space="preserve">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w:t>
      </w:r>
      <w:proofErr w:type="gramStart"/>
      <w:r w:rsidRPr="003B27CD">
        <w:rPr>
          <w:rFonts w:cstheme="minorHAnsi"/>
        </w:rPr>
        <w:t>vessels;</w:t>
      </w:r>
      <w:proofErr w:type="gramEnd"/>
    </w:p>
    <w:p w14:paraId="2C604CCF" w14:textId="77777777" w:rsidR="00FB0AB6" w:rsidRPr="003B27CD" w:rsidRDefault="00FB0AB6" w:rsidP="00FB0AB6">
      <w:pPr>
        <w:pStyle w:val="ListParagraph"/>
        <w:numPr>
          <w:ilvl w:val="0"/>
          <w:numId w:val="7"/>
        </w:numPr>
        <w:spacing w:after="200" w:line="276" w:lineRule="auto"/>
        <w:rPr>
          <w:rFonts w:cstheme="minorHAnsi"/>
        </w:rPr>
      </w:pPr>
      <w:r w:rsidRPr="003B27CD">
        <w:rPr>
          <w:rFonts w:cstheme="minorHAnsi"/>
        </w:rPr>
        <w:t>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and</w:t>
      </w:r>
    </w:p>
    <w:p w14:paraId="056F6A2F" w14:textId="77777777" w:rsidR="00FB0AB6" w:rsidRPr="003B27CD" w:rsidRDefault="00FB0AB6" w:rsidP="00FB0AB6">
      <w:pPr>
        <w:pStyle w:val="ListParagraph"/>
        <w:numPr>
          <w:ilvl w:val="0"/>
          <w:numId w:val="7"/>
        </w:numPr>
        <w:spacing w:after="200" w:line="276" w:lineRule="auto"/>
        <w:rPr>
          <w:rFonts w:cstheme="minorHAnsi"/>
        </w:rPr>
      </w:pPr>
      <w:r w:rsidRPr="003B27CD">
        <w:rPr>
          <w:rFonts w:cstheme="minorHAnsi"/>
        </w:rPr>
        <w:t>to include these requirements in all subcontracts issued pursuant to this contract when the subcontract may involve the transport of equipment, material, or commodities by ocean vessel.</w:t>
      </w:r>
    </w:p>
    <w:p w14:paraId="1E493D68" w14:textId="77777777" w:rsidR="00FB0AB6" w:rsidRPr="003B27CD" w:rsidRDefault="00FB0AB6" w:rsidP="00FB0AB6">
      <w:pPr>
        <w:pStyle w:val="ListParagraph"/>
        <w:numPr>
          <w:ilvl w:val="0"/>
          <w:numId w:val="7"/>
        </w:numPr>
        <w:spacing w:after="200" w:line="276" w:lineRule="auto"/>
        <w:rPr>
          <w:rFonts w:cstheme="minorHAnsi"/>
        </w:rPr>
      </w:pPr>
    </w:p>
    <w:p w14:paraId="7AC57853" w14:textId="77777777" w:rsidR="00FB0AB6" w:rsidRPr="003B27CD" w:rsidRDefault="00FB0AB6" w:rsidP="00FB0AB6">
      <w:pPr>
        <w:pStyle w:val="NoSpacing"/>
        <w:rPr>
          <w:rFonts w:cstheme="minorHAnsi"/>
          <w:b/>
        </w:rPr>
      </w:pPr>
      <w:r w:rsidRPr="003B27CD">
        <w:rPr>
          <w:rFonts w:cstheme="minorHAnsi"/>
          <w:b/>
        </w:rPr>
        <w:t>CLEAN AIR ACT AND FEDERAL WATER POLLUTION CONTROL ACT</w:t>
      </w:r>
    </w:p>
    <w:p w14:paraId="04A5F52D" w14:textId="77777777" w:rsidR="00FB0AB6" w:rsidRPr="003B27CD" w:rsidRDefault="00FB0AB6" w:rsidP="00FB0AB6">
      <w:pPr>
        <w:pStyle w:val="NoSpacing"/>
        <w:rPr>
          <w:rFonts w:cstheme="minorHAnsi"/>
        </w:rPr>
      </w:pPr>
      <w:r w:rsidRPr="003B27CD">
        <w:rPr>
          <w:rFonts w:cstheme="minorHAnsi"/>
        </w:rPr>
        <w:t>42 U.S.C. §§ 7401 – 7671q 33 U.S.C. §§ 1251-1387 2 C.F.R. part 200, Appendix II (G)</w:t>
      </w:r>
    </w:p>
    <w:p w14:paraId="6DBB7DE9" w14:textId="77777777" w:rsidR="00FB0AB6" w:rsidRPr="003B27CD" w:rsidRDefault="00FB0AB6" w:rsidP="00FB0AB6">
      <w:pPr>
        <w:pStyle w:val="NoSpacing"/>
        <w:rPr>
          <w:rFonts w:cstheme="minorHAnsi"/>
        </w:rPr>
      </w:pPr>
    </w:p>
    <w:p w14:paraId="4CDA472F" w14:textId="77777777" w:rsidR="00FB0AB6" w:rsidRPr="003B27CD" w:rsidRDefault="00FB0AB6" w:rsidP="00FB0AB6">
      <w:pPr>
        <w:rPr>
          <w:rFonts w:cstheme="minorHAnsi"/>
        </w:rPr>
      </w:pPr>
      <w:r w:rsidRPr="003B27CD">
        <w:rPr>
          <w:rFonts w:cstheme="minorHAnsi"/>
        </w:rPr>
        <w:t>The Contractor agrees:</w:t>
      </w:r>
    </w:p>
    <w:p w14:paraId="6CE9B382" w14:textId="77777777" w:rsidR="00FB0AB6" w:rsidRPr="003B27CD" w:rsidRDefault="00FB0AB6" w:rsidP="00FB0AB6">
      <w:pPr>
        <w:rPr>
          <w:rFonts w:cstheme="minorHAnsi"/>
        </w:rPr>
      </w:pPr>
      <w:r w:rsidRPr="003B27CD">
        <w:rPr>
          <w:rFonts w:cstheme="minorHAnsi"/>
        </w:rPr>
        <w:t xml:space="preserve">1) It will not use any violating </w:t>
      </w:r>
      <w:proofErr w:type="gramStart"/>
      <w:r w:rsidRPr="003B27CD">
        <w:rPr>
          <w:rFonts w:cstheme="minorHAnsi"/>
        </w:rPr>
        <w:t>facilities;</w:t>
      </w:r>
      <w:proofErr w:type="gramEnd"/>
      <w:r w:rsidRPr="003B27CD">
        <w:rPr>
          <w:rFonts w:cstheme="minorHAnsi"/>
        </w:rPr>
        <w:t xml:space="preserve"> </w:t>
      </w:r>
    </w:p>
    <w:p w14:paraId="5C986F78" w14:textId="77777777" w:rsidR="00FB0AB6" w:rsidRPr="003B27CD" w:rsidRDefault="00FB0AB6" w:rsidP="00FB0AB6">
      <w:pPr>
        <w:rPr>
          <w:rFonts w:cstheme="minorHAnsi"/>
        </w:rPr>
      </w:pPr>
      <w:r w:rsidRPr="003B27CD">
        <w:rPr>
          <w:rFonts w:cstheme="minorHAnsi"/>
        </w:rPr>
        <w:t>2) It will report the use of facilities placed on or likely to be placed on the U.S. EPA “List of Violating Facilities;”</w:t>
      </w:r>
    </w:p>
    <w:p w14:paraId="5EF94880" w14:textId="77777777" w:rsidR="00FB0AB6" w:rsidRPr="003B27CD" w:rsidRDefault="00FB0AB6" w:rsidP="00FB0AB6">
      <w:pPr>
        <w:rPr>
          <w:rFonts w:cstheme="minorHAnsi"/>
        </w:rPr>
      </w:pPr>
      <w:r w:rsidRPr="003B27CD">
        <w:rPr>
          <w:rFonts w:cstheme="minorHAnsi"/>
        </w:rPr>
        <w:t xml:space="preserve"> 3) It will report violations of use of prohibited facilities to FTA; and</w:t>
      </w:r>
    </w:p>
    <w:p w14:paraId="1C5F44A6" w14:textId="77777777" w:rsidR="00FB0AB6" w:rsidRPr="003B27CD" w:rsidRDefault="00FB0AB6" w:rsidP="00FB0AB6">
      <w:pPr>
        <w:rPr>
          <w:rFonts w:cstheme="minorHAnsi"/>
        </w:rPr>
      </w:pPr>
      <w:r w:rsidRPr="003B27CD">
        <w:rPr>
          <w:rFonts w:cstheme="minorHAnsi"/>
        </w:rPr>
        <w:t xml:space="preserve"> 4) It will comply with the inspection and other requirements of the Clean Air Act, as amended, (42 U.S.C. §§ 7401 – 7671q); and the Federal Water Pollution Control Act as amended, (33 U.S.C. §§ 1251-1387).</w:t>
      </w:r>
    </w:p>
    <w:p w14:paraId="2B4B0C40" w14:textId="0AB13699" w:rsidR="00FF7007" w:rsidRPr="003B27CD" w:rsidRDefault="00FF7007">
      <w:pPr>
        <w:rPr>
          <w:rFonts w:cstheme="minorHAnsi"/>
        </w:rPr>
      </w:pPr>
      <w:r w:rsidRPr="003B27CD">
        <w:rPr>
          <w:rFonts w:cstheme="minorHAnsi"/>
        </w:rPr>
        <w:br w:type="page"/>
      </w:r>
    </w:p>
    <w:p w14:paraId="7921C3B8" w14:textId="77777777" w:rsidR="00FB0AB6" w:rsidRPr="003B27CD" w:rsidRDefault="00FB0AB6" w:rsidP="00FB0AB6">
      <w:pPr>
        <w:rPr>
          <w:rFonts w:cstheme="minorHAnsi"/>
          <w:b/>
        </w:rPr>
      </w:pPr>
      <w:r w:rsidRPr="003B27CD">
        <w:rPr>
          <w:rFonts w:cstheme="minorHAnsi"/>
          <w:b/>
        </w:rPr>
        <w:lastRenderedPageBreak/>
        <w:t>CIVIL RIGHTS LAWS AND REGULATIONS</w:t>
      </w:r>
    </w:p>
    <w:p w14:paraId="1F5E6D32" w14:textId="77777777" w:rsidR="00FB0AB6" w:rsidRPr="003B27CD" w:rsidRDefault="00FB0AB6" w:rsidP="00FB0AB6">
      <w:pPr>
        <w:rPr>
          <w:rFonts w:cstheme="minorHAnsi"/>
        </w:rPr>
      </w:pPr>
      <w:r w:rsidRPr="003B27CD">
        <w:rPr>
          <w:rFonts w:cstheme="minorHAnsi"/>
        </w:rPr>
        <w:t xml:space="preserve">The AGENCY is an Equal Opportunity Employer. As such, the AGENCY agrees to comply with all applicable Federal civil rights laws and implementing regulations. Apart from inconsistent requirements imposed by Federal laws or regulations, the AGENCY agrees to comply with the requirements of 49 U.S.C. § 5323(h) (3) by not using any Federal assistance awarded by FTA to support procurements using exclusionary or discriminatory specifications. </w:t>
      </w:r>
    </w:p>
    <w:p w14:paraId="048FDAAE" w14:textId="77777777" w:rsidR="00FB0AB6" w:rsidRPr="003B27CD" w:rsidRDefault="00FB0AB6" w:rsidP="00FB0AB6">
      <w:pPr>
        <w:rPr>
          <w:rFonts w:cstheme="minorHAnsi"/>
          <w:b/>
        </w:rPr>
      </w:pPr>
      <w:r w:rsidRPr="003B27CD">
        <w:rPr>
          <w:rFonts w:cstheme="minorHAnsi"/>
        </w:rPr>
        <w:t xml:space="preserve">Under this Agreement, the Contractor shall </w:t>
      </w:r>
      <w:proofErr w:type="gramStart"/>
      <w:r w:rsidRPr="003B27CD">
        <w:rPr>
          <w:rFonts w:cstheme="minorHAnsi"/>
        </w:rPr>
        <w:t>at all times</w:t>
      </w:r>
      <w:proofErr w:type="gramEnd"/>
      <w:r w:rsidRPr="003B27CD">
        <w:rPr>
          <w:rFonts w:cstheme="minorHAnsi"/>
        </w:rPr>
        <w:t xml:space="preserve"> comply with the following requirements and shall include these requirements in each subcontract entered into as part thereof.</w:t>
      </w:r>
    </w:p>
    <w:p w14:paraId="1DC4EB94" w14:textId="77777777" w:rsidR="00FB0AB6" w:rsidRPr="003B27CD" w:rsidRDefault="00FB0AB6" w:rsidP="00FB0AB6">
      <w:pPr>
        <w:pStyle w:val="ListParagraph"/>
        <w:numPr>
          <w:ilvl w:val="0"/>
          <w:numId w:val="8"/>
        </w:numPr>
        <w:spacing w:after="200" w:line="276" w:lineRule="auto"/>
        <w:rPr>
          <w:rFonts w:cstheme="minorHAnsi"/>
          <w:b/>
        </w:rPr>
      </w:pPr>
      <w:r w:rsidRPr="003B27CD">
        <w:rPr>
          <w:rFonts w:cstheme="minorHAnsi"/>
        </w:rPr>
        <w:t>Nondiscrimination.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268E403E" w14:textId="77777777" w:rsidR="00FB0AB6" w:rsidRPr="003B27CD" w:rsidRDefault="00FB0AB6" w:rsidP="00FB0AB6">
      <w:pPr>
        <w:pStyle w:val="ListParagraph"/>
        <w:numPr>
          <w:ilvl w:val="0"/>
          <w:numId w:val="8"/>
        </w:numPr>
        <w:spacing w:after="200" w:line="276" w:lineRule="auto"/>
        <w:rPr>
          <w:rFonts w:cstheme="minorHAnsi"/>
          <w:b/>
        </w:rPr>
      </w:pPr>
      <w:r w:rsidRPr="003B27CD">
        <w:rPr>
          <w:rFonts w:cstheme="minorHAnsi"/>
        </w:rPr>
        <w:t xml:space="preserve">Race, Color, Religion, National Origin, Sex.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w:t>
      </w:r>
      <w:proofErr w:type="gramStart"/>
      <w:r w:rsidRPr="003B27CD">
        <w:rPr>
          <w:rFonts w:cstheme="minorHAnsi"/>
        </w:rPr>
        <w:t>layoff</w:t>
      </w:r>
      <w:proofErr w:type="gramEnd"/>
      <w:r w:rsidRPr="003B27CD">
        <w:rPr>
          <w:rFonts w:cstheme="minorHAnsi"/>
        </w:rPr>
        <w:t xml:space="preserve"> or termination; rates of pay or other forms of compensation; and selection for training, including apprenticeship. In addition, the Contractor agrees to comply with any implementing requirements FTA may issue.</w:t>
      </w:r>
    </w:p>
    <w:p w14:paraId="3A435C32" w14:textId="77777777" w:rsidR="00FB0AB6" w:rsidRPr="003B27CD" w:rsidRDefault="00FB0AB6" w:rsidP="00FB0AB6">
      <w:pPr>
        <w:pStyle w:val="ListParagraph"/>
        <w:numPr>
          <w:ilvl w:val="0"/>
          <w:numId w:val="8"/>
        </w:numPr>
        <w:spacing w:after="200" w:line="276" w:lineRule="auto"/>
        <w:rPr>
          <w:rFonts w:cstheme="minorHAnsi"/>
          <w:b/>
        </w:rPr>
      </w:pPr>
      <w:r w:rsidRPr="003B27CD">
        <w:rPr>
          <w:rFonts w:cstheme="minorHAnsi"/>
        </w:rPr>
        <w:t>Age. In accordance with the Age Discrimination in Employment Act, 29 U.S.C. §§ 621- 634,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143EECD0" w14:textId="4F320D3C" w:rsidR="00FB0AB6" w:rsidRPr="003B27CD" w:rsidRDefault="00FB0AB6" w:rsidP="00D822E8">
      <w:pPr>
        <w:pStyle w:val="ListParagraph"/>
        <w:numPr>
          <w:ilvl w:val="0"/>
          <w:numId w:val="8"/>
        </w:numPr>
        <w:spacing w:after="200" w:line="276" w:lineRule="auto"/>
        <w:rPr>
          <w:rFonts w:cstheme="minorHAnsi"/>
          <w:b/>
        </w:rPr>
      </w:pPr>
      <w:r w:rsidRPr="003B27CD">
        <w:rPr>
          <w:rFonts w:cstheme="minorHAnsi"/>
        </w:rPr>
        <w:t xml:space="preserve">Disabilities. In accordance with section 504 of the Rehabilitation Act of 1973, as amended, 29 U.S.C. § 794, the Americans with Disabilities Act of 1990, as amended, 42 U.S.C. § 12101 et seq., </w:t>
      </w:r>
      <w:r w:rsidRPr="003B27CD">
        <w:rPr>
          <w:rFonts w:cstheme="minorHAnsi"/>
        </w:rPr>
        <w:lastRenderedPageBreak/>
        <w:t xml:space="preserve">the Architectural Barriers Act of 1968, as amended, 42 U.S.C. § 4151 et seq., and Federal transit law at 49 U.S.C. § 5332, the Contractor agrees that it will not discriminate against individuals </w:t>
      </w:r>
      <w:proofErr w:type="gramStart"/>
      <w:r w:rsidRPr="003B27CD">
        <w:rPr>
          <w:rFonts w:cstheme="minorHAnsi"/>
        </w:rPr>
        <w:t>on the basis of</w:t>
      </w:r>
      <w:proofErr w:type="gramEnd"/>
      <w:r w:rsidRPr="003B27CD">
        <w:rPr>
          <w:rFonts w:cstheme="minorHAnsi"/>
        </w:rPr>
        <w:t xml:space="preserve"> disability. In addition, the Contractor agrees to comply with any implementing requirements FTA may issue.</w:t>
      </w:r>
    </w:p>
    <w:p w14:paraId="4D0FB351" w14:textId="77777777" w:rsidR="00FB0AB6" w:rsidRPr="003B27CD" w:rsidRDefault="00FB0AB6" w:rsidP="00FB0AB6">
      <w:pPr>
        <w:rPr>
          <w:rFonts w:cstheme="minorHAnsi"/>
          <w:b/>
          <w:bCs/>
        </w:rPr>
      </w:pPr>
      <w:r w:rsidRPr="003B27CD">
        <w:rPr>
          <w:rFonts w:cstheme="minorHAnsi"/>
          <w:b/>
          <w:bCs/>
        </w:rPr>
        <w:t>PRIVACY ACT</w:t>
      </w:r>
    </w:p>
    <w:p w14:paraId="6E5EF667"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(a) The Contractor agrees to— </w:t>
      </w:r>
    </w:p>
    <w:p w14:paraId="4C1FAE4D"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(1) Comply with the Privacy Act of 1974 (the Act) and the agency rules and regulations issued under the Act in the design, development, or operation of any system of records on individuals to accomplish an agency function when the contract specifically identifies— </w:t>
      </w:r>
    </w:p>
    <w:p w14:paraId="766E9490"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w:t>
      </w:r>
      <w:proofErr w:type="spellStart"/>
      <w:r w:rsidRPr="003B27CD">
        <w:rPr>
          <w:rFonts w:eastAsia="Times New Roman" w:cstheme="minorHAnsi"/>
        </w:rPr>
        <w:t>i</w:t>
      </w:r>
      <w:proofErr w:type="spellEnd"/>
      <w:r w:rsidRPr="003B27CD">
        <w:rPr>
          <w:rFonts w:eastAsia="Times New Roman" w:cstheme="minorHAnsi"/>
        </w:rPr>
        <w:t xml:space="preserve">) The systems of records; and </w:t>
      </w:r>
    </w:p>
    <w:p w14:paraId="0B465B4A"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(ii) The design, development, or operation work that the contractor is to </w:t>
      </w:r>
      <w:proofErr w:type="gramStart"/>
      <w:r w:rsidRPr="003B27CD">
        <w:rPr>
          <w:rFonts w:eastAsia="Times New Roman" w:cstheme="minorHAnsi"/>
        </w:rPr>
        <w:t>perform;</w:t>
      </w:r>
      <w:proofErr w:type="gramEnd"/>
      <w:r w:rsidRPr="003B27CD">
        <w:rPr>
          <w:rFonts w:eastAsia="Times New Roman" w:cstheme="minorHAnsi"/>
        </w:rPr>
        <w:t xml:space="preserve"> </w:t>
      </w:r>
    </w:p>
    <w:p w14:paraId="2528ECD8"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(2) Include the Privacy Act notification contained in this contract in every solicitation and resulting subcontract and in every subcontract awarded without a solicitation, when the work statement in the proposed subcontract requires the design, development, or operation of a system of records on individuals that is subject to the Act; and </w:t>
      </w:r>
    </w:p>
    <w:p w14:paraId="2E12CE78"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(3) Include this clause, including this subparagraph (3), in all subcontracts awarded under this contract which requires the design, development, or operation of such a system of records. </w:t>
      </w:r>
    </w:p>
    <w:p w14:paraId="2287ADAF"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(b) In the event of violations of the Act, a civil action may be brought against the agency involved when the violation concerns the design, development, or operation of a system of records on individuals to accomplish an agency function, and criminal penalties may be imposed upon the officers or employees of the agency when the violation concerns the operation of a system of records on individuals to accomplish an agency function. For purposes of the Act, when the contract is for the operation of a system of records on individuals to accomplish an agency function, the Contractor and any employee of the Contractor </w:t>
      </w:r>
      <w:proofErr w:type="gramStart"/>
      <w:r w:rsidRPr="003B27CD">
        <w:rPr>
          <w:rFonts w:eastAsia="Times New Roman" w:cstheme="minorHAnsi"/>
        </w:rPr>
        <w:t>is considered to be</w:t>
      </w:r>
      <w:proofErr w:type="gramEnd"/>
      <w:r w:rsidRPr="003B27CD">
        <w:rPr>
          <w:rFonts w:eastAsia="Times New Roman" w:cstheme="minorHAnsi"/>
        </w:rPr>
        <w:t xml:space="preserve"> an employee of the agency. </w:t>
      </w:r>
    </w:p>
    <w:p w14:paraId="4A1ECF1E"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(c)(1) Operation of a system of records, as used in this clause, means performance of any of the activities associated with maintaining the system of records, including the collection, use, and dissemination of records. </w:t>
      </w:r>
    </w:p>
    <w:p w14:paraId="1AFC82C0"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t xml:space="preserve">(2) Record, as used in this clause, means any item, collection, or grouping of information about an individual that is maintained by an agency, including, but not limited to, education, financial transactions, medical history, and criminal or employment history and that contains the person's name, or the identifying number, symbol, or other identifying particular assigned to the individual, such as a fingerprint or voiceprint or a photograph. </w:t>
      </w:r>
    </w:p>
    <w:p w14:paraId="6430B2D9" w14:textId="77777777" w:rsidR="00FB0AB6" w:rsidRPr="003B27CD" w:rsidRDefault="00FB0AB6" w:rsidP="00FB0AB6">
      <w:pPr>
        <w:spacing w:before="100" w:beforeAutospacing="1" w:after="100" w:afterAutospacing="1" w:line="240" w:lineRule="auto"/>
        <w:rPr>
          <w:rFonts w:eastAsia="Times New Roman" w:cstheme="minorHAnsi"/>
        </w:rPr>
      </w:pPr>
      <w:r w:rsidRPr="003B27CD">
        <w:rPr>
          <w:rFonts w:eastAsia="Times New Roman" w:cstheme="minorHAnsi"/>
        </w:rPr>
        <w:lastRenderedPageBreak/>
        <w:t xml:space="preserve">(3) System of records on individuals, as used in this clause means a group of any records under the control of any agency from which information is retrieved by the name of the individual or by some identifying number, symbol, or other identifying </w:t>
      </w:r>
      <w:proofErr w:type="gramStart"/>
      <w:r w:rsidRPr="003B27CD">
        <w:rPr>
          <w:rFonts w:eastAsia="Times New Roman" w:cstheme="minorHAnsi"/>
        </w:rPr>
        <w:t>particular assigned</w:t>
      </w:r>
      <w:proofErr w:type="gramEnd"/>
      <w:r w:rsidRPr="003B27CD">
        <w:rPr>
          <w:rFonts w:eastAsia="Times New Roman" w:cstheme="minorHAnsi"/>
        </w:rPr>
        <w:t xml:space="preserve"> to the individual.</w:t>
      </w:r>
    </w:p>
    <w:p w14:paraId="3B4A2A64" w14:textId="77777777" w:rsidR="00FB0AB6" w:rsidRPr="003B27CD" w:rsidRDefault="00FB0AB6" w:rsidP="00FB0AB6">
      <w:pPr>
        <w:pStyle w:val="NoSpacing"/>
        <w:rPr>
          <w:rFonts w:cstheme="minorHAnsi"/>
          <w:b/>
        </w:rPr>
      </w:pPr>
      <w:r w:rsidRPr="003B27CD">
        <w:rPr>
          <w:rFonts w:cstheme="minorHAnsi"/>
          <w:b/>
        </w:rPr>
        <w:t>DISADVANTAGED BUSINESS ENTERPRISE (DBE)</w:t>
      </w:r>
    </w:p>
    <w:p w14:paraId="274905F6" w14:textId="77777777" w:rsidR="00FB0AB6" w:rsidRPr="003B27CD" w:rsidRDefault="00FB0AB6" w:rsidP="00FB0AB6">
      <w:pPr>
        <w:pStyle w:val="NoSpacing"/>
        <w:rPr>
          <w:rFonts w:cstheme="minorHAnsi"/>
        </w:rPr>
      </w:pPr>
      <w:r w:rsidRPr="003B27CD">
        <w:rPr>
          <w:rFonts w:cstheme="minorHAnsi"/>
        </w:rPr>
        <w:t>49 C.F.R. part 26</w:t>
      </w:r>
    </w:p>
    <w:p w14:paraId="37767AB8" w14:textId="77777777" w:rsidR="00FB0AB6" w:rsidRPr="003B27CD" w:rsidRDefault="00FB0AB6" w:rsidP="00FB0AB6">
      <w:pPr>
        <w:pStyle w:val="NoSpacing"/>
        <w:rPr>
          <w:rFonts w:cstheme="minorHAnsi"/>
        </w:rPr>
      </w:pPr>
    </w:p>
    <w:p w14:paraId="574EC234" w14:textId="77777777" w:rsidR="00FB0AB6" w:rsidRPr="003B27CD" w:rsidRDefault="00FB0AB6" w:rsidP="00FB0AB6">
      <w:pPr>
        <w:rPr>
          <w:rFonts w:cstheme="minorHAnsi"/>
        </w:rPr>
      </w:pPr>
      <w:r w:rsidRPr="003B27CD">
        <w:rPr>
          <w:rFonts w:cstheme="minorHAnsi"/>
        </w:rPr>
        <w:t>For all DOT-assisted contracts, each FTA recipient must include assurances that third party contractors will comply with the DBE program requirements of 49 C.F.R. part 26, when applicable. The following contract clause is required in all DOT-assisted prime and subcontracts:</w:t>
      </w:r>
    </w:p>
    <w:p w14:paraId="037D2B2C" w14:textId="77777777" w:rsidR="00FB0AB6" w:rsidRPr="003B27CD" w:rsidRDefault="00FB0AB6" w:rsidP="00FB0AB6">
      <w:pPr>
        <w:ind w:left="720"/>
        <w:rPr>
          <w:rFonts w:cstheme="minorHAnsi"/>
        </w:rPr>
      </w:pPr>
      <w:r w:rsidRPr="003B27CD">
        <w:rPr>
          <w:rFonts w:cstheme="minorHAnsi"/>
        </w:rPr>
        <w:t xml:space="preserve">The contractor, subrecipient or subcontractor shall not discriminate </w:t>
      </w:r>
      <w:proofErr w:type="gramStart"/>
      <w:r w:rsidRPr="003B27CD">
        <w:rPr>
          <w:rFonts w:cstheme="minorHAnsi"/>
        </w:rPr>
        <w:t>on the basis of</w:t>
      </w:r>
      <w:proofErr w:type="gramEnd"/>
      <w:r w:rsidRPr="003B27CD">
        <w:rPr>
          <w:rFonts w:cstheme="minorHAnsi"/>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14:paraId="73EDE822" w14:textId="77777777" w:rsidR="00FB0AB6" w:rsidRPr="003B27CD" w:rsidRDefault="00FB0AB6" w:rsidP="00FB0AB6">
      <w:pPr>
        <w:pStyle w:val="ListParagraph"/>
        <w:numPr>
          <w:ilvl w:val="0"/>
          <w:numId w:val="9"/>
        </w:numPr>
        <w:spacing w:after="200" w:line="276" w:lineRule="auto"/>
        <w:rPr>
          <w:rFonts w:cstheme="minorHAnsi"/>
        </w:rPr>
      </w:pPr>
      <w:r w:rsidRPr="003B27CD">
        <w:rPr>
          <w:rFonts w:cstheme="minorHAnsi"/>
        </w:rPr>
        <w:t xml:space="preserve">Withholding monthly progress </w:t>
      </w:r>
      <w:proofErr w:type="gramStart"/>
      <w:r w:rsidRPr="003B27CD">
        <w:rPr>
          <w:rFonts w:cstheme="minorHAnsi"/>
        </w:rPr>
        <w:t>payments;</w:t>
      </w:r>
      <w:proofErr w:type="gramEnd"/>
    </w:p>
    <w:p w14:paraId="08EF668D" w14:textId="77777777" w:rsidR="00FB0AB6" w:rsidRPr="003B27CD" w:rsidRDefault="00FB0AB6" w:rsidP="00FB0AB6">
      <w:pPr>
        <w:pStyle w:val="ListParagraph"/>
        <w:numPr>
          <w:ilvl w:val="0"/>
          <w:numId w:val="9"/>
        </w:numPr>
        <w:spacing w:after="200" w:line="276" w:lineRule="auto"/>
        <w:rPr>
          <w:rFonts w:cstheme="minorHAnsi"/>
        </w:rPr>
      </w:pPr>
      <w:r w:rsidRPr="003B27CD">
        <w:rPr>
          <w:rFonts w:cstheme="minorHAnsi"/>
        </w:rPr>
        <w:t xml:space="preserve">Assessing </w:t>
      </w:r>
      <w:proofErr w:type="gramStart"/>
      <w:r w:rsidRPr="003B27CD">
        <w:rPr>
          <w:rFonts w:cstheme="minorHAnsi"/>
        </w:rPr>
        <w:t>sanctions;</w:t>
      </w:r>
      <w:proofErr w:type="gramEnd"/>
    </w:p>
    <w:p w14:paraId="633DEEFC" w14:textId="77777777" w:rsidR="00FB0AB6" w:rsidRPr="003B27CD" w:rsidRDefault="00FB0AB6" w:rsidP="00FB0AB6">
      <w:pPr>
        <w:pStyle w:val="ListParagraph"/>
        <w:numPr>
          <w:ilvl w:val="0"/>
          <w:numId w:val="9"/>
        </w:numPr>
        <w:spacing w:after="200" w:line="276" w:lineRule="auto"/>
        <w:rPr>
          <w:rFonts w:cstheme="minorHAnsi"/>
        </w:rPr>
      </w:pPr>
      <w:r w:rsidRPr="003B27CD">
        <w:rPr>
          <w:rFonts w:cstheme="minorHAnsi"/>
        </w:rPr>
        <w:t>Liquidated damages; and/or</w:t>
      </w:r>
    </w:p>
    <w:p w14:paraId="5A06297D" w14:textId="77777777" w:rsidR="00FB0AB6" w:rsidRPr="003B27CD" w:rsidRDefault="00FB0AB6" w:rsidP="00FB0AB6">
      <w:pPr>
        <w:pStyle w:val="ListParagraph"/>
        <w:numPr>
          <w:ilvl w:val="0"/>
          <w:numId w:val="9"/>
        </w:numPr>
        <w:spacing w:after="200" w:line="276" w:lineRule="auto"/>
        <w:rPr>
          <w:rFonts w:cstheme="minorHAnsi"/>
        </w:rPr>
      </w:pPr>
      <w:r w:rsidRPr="003B27CD">
        <w:rPr>
          <w:rFonts w:cstheme="minorHAnsi"/>
        </w:rPr>
        <w:t>Disqualifying the contractor from future bidding as non-responsible. 49 C.F.R. § 26.13(b).</w:t>
      </w:r>
    </w:p>
    <w:p w14:paraId="3972887C" w14:textId="77777777" w:rsidR="00FB0AB6" w:rsidRPr="003B27CD" w:rsidRDefault="00FB0AB6" w:rsidP="00FB0AB6">
      <w:pPr>
        <w:rPr>
          <w:rFonts w:cstheme="minorHAnsi"/>
        </w:rPr>
      </w:pPr>
      <w:r w:rsidRPr="003B27CD">
        <w:rPr>
          <w:rFonts w:cstheme="minorHAnsi"/>
        </w:rP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 prime contract a provision stating that the contractor shall utilize the specific DBEs listed unless the contractor obtains the recipient’s written consent; and that, unless the recipient’s consent is provided, the contractor shall not be entitled to any payment for work or material unless it is performed or supplied by the listed DBE. 49 C.F.R. § 26.53(f) (1).</w:t>
      </w:r>
    </w:p>
    <w:p w14:paraId="79EAE259" w14:textId="77777777" w:rsidR="00FB0AB6" w:rsidRPr="003B27CD" w:rsidRDefault="00FB0AB6" w:rsidP="00FB0AB6">
      <w:pPr>
        <w:rPr>
          <w:rFonts w:cstheme="minorHAnsi"/>
        </w:rPr>
      </w:pPr>
      <w:r w:rsidRPr="003B27CD">
        <w:rPr>
          <w:rFonts w:cstheme="minorHAnsi"/>
        </w:rPr>
        <w:t>As an additional resource, recipients can draw on the following language for inclusion in their federally funded procurements.</w:t>
      </w:r>
    </w:p>
    <w:p w14:paraId="42FA605A" w14:textId="77777777" w:rsidR="00FB0AB6" w:rsidRPr="003B27CD" w:rsidRDefault="00FB0AB6" w:rsidP="00FB0AB6">
      <w:pPr>
        <w:jc w:val="center"/>
        <w:rPr>
          <w:rFonts w:cstheme="minorHAnsi"/>
          <w:b/>
        </w:rPr>
      </w:pPr>
      <w:r w:rsidRPr="003B27CD">
        <w:rPr>
          <w:rFonts w:cstheme="minorHAnsi"/>
          <w:b/>
        </w:rPr>
        <w:t>Overview</w:t>
      </w:r>
    </w:p>
    <w:p w14:paraId="1A4F2574" w14:textId="77777777" w:rsidR="00FB0AB6" w:rsidRPr="003B27CD" w:rsidRDefault="00FB0AB6" w:rsidP="00FB0AB6">
      <w:pPr>
        <w:rPr>
          <w:rFonts w:cstheme="minorHAnsi"/>
        </w:rPr>
      </w:pPr>
      <w:r w:rsidRPr="003B27CD">
        <w:rPr>
          <w:rFonts w:cstheme="minorHAnsi"/>
        </w:rPr>
        <w:t>It is the policy of the AGENCY and the United States Department of Transportation (“DOT”) that Disadvantaged Business Enterprises (“DBE’s”), as defined herein and in the Federal regulations published at 49 C.F.R. part 26, shall have an equal opportunity to participate in DOT-assisted contracts. It is also the policy of the AGENCY to:</w:t>
      </w:r>
    </w:p>
    <w:p w14:paraId="695C94ED"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 xml:space="preserve">Ensure nondiscrimination in the award and administration of DOT-assisted </w:t>
      </w:r>
      <w:proofErr w:type="gramStart"/>
      <w:r w:rsidRPr="003B27CD">
        <w:rPr>
          <w:rFonts w:cstheme="minorHAnsi"/>
        </w:rPr>
        <w:t>contracts;</w:t>
      </w:r>
      <w:proofErr w:type="gramEnd"/>
      <w:r w:rsidRPr="003B27CD">
        <w:rPr>
          <w:rFonts w:cstheme="minorHAnsi"/>
        </w:rPr>
        <w:t xml:space="preserve"> </w:t>
      </w:r>
    </w:p>
    <w:p w14:paraId="1FCA345F"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 xml:space="preserve">Create a level playing field on which DBE’s can compete fairly for DOT-assisted </w:t>
      </w:r>
      <w:proofErr w:type="gramStart"/>
      <w:r w:rsidRPr="003B27CD">
        <w:rPr>
          <w:rFonts w:cstheme="minorHAnsi"/>
        </w:rPr>
        <w:t>contracts;</w:t>
      </w:r>
      <w:proofErr w:type="gramEnd"/>
    </w:p>
    <w:p w14:paraId="2B47E60C"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 xml:space="preserve">Ensure that the DBE program is narrowly tailored in accordance with applicable </w:t>
      </w:r>
      <w:proofErr w:type="gramStart"/>
      <w:r w:rsidRPr="003B27CD">
        <w:rPr>
          <w:rFonts w:cstheme="minorHAnsi"/>
        </w:rPr>
        <w:t>law;</w:t>
      </w:r>
      <w:proofErr w:type="gramEnd"/>
      <w:r w:rsidRPr="003B27CD">
        <w:rPr>
          <w:rFonts w:cstheme="minorHAnsi"/>
        </w:rPr>
        <w:t xml:space="preserve"> </w:t>
      </w:r>
    </w:p>
    <w:p w14:paraId="0051236B"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lastRenderedPageBreak/>
        <w:t xml:space="preserve">Ensure that only firms that fully meet 49 C.F.R. part 26 eligibility standards are permitted to participate as </w:t>
      </w:r>
      <w:proofErr w:type="gramStart"/>
      <w:r w:rsidRPr="003B27CD">
        <w:rPr>
          <w:rFonts w:cstheme="minorHAnsi"/>
        </w:rPr>
        <w:t>DBE’s;</w:t>
      </w:r>
      <w:proofErr w:type="gramEnd"/>
    </w:p>
    <w:p w14:paraId="43C8772B"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 xml:space="preserve">Help remove barriers to the participation of DBEs in DOT assisted </w:t>
      </w:r>
      <w:proofErr w:type="gramStart"/>
      <w:r w:rsidRPr="003B27CD">
        <w:rPr>
          <w:rFonts w:cstheme="minorHAnsi"/>
        </w:rPr>
        <w:t>contracts;</w:t>
      </w:r>
      <w:proofErr w:type="gramEnd"/>
      <w:r w:rsidRPr="003B27CD">
        <w:rPr>
          <w:rFonts w:cstheme="minorHAnsi"/>
        </w:rPr>
        <w:t xml:space="preserve"> </w:t>
      </w:r>
    </w:p>
    <w:p w14:paraId="7C908868"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 xml:space="preserve">To promote the use of DBEs in all types of federally assisted contracts and procurement activities; and </w:t>
      </w:r>
    </w:p>
    <w:p w14:paraId="4FCDF990" w14:textId="77777777" w:rsidR="00FB0AB6" w:rsidRPr="003B27CD" w:rsidRDefault="00FB0AB6" w:rsidP="00FB0AB6">
      <w:pPr>
        <w:pStyle w:val="ListParagraph"/>
        <w:numPr>
          <w:ilvl w:val="0"/>
          <w:numId w:val="10"/>
        </w:numPr>
        <w:spacing w:after="200" w:line="276" w:lineRule="auto"/>
        <w:rPr>
          <w:rFonts w:cstheme="minorHAnsi"/>
          <w:b/>
        </w:rPr>
      </w:pPr>
      <w:r w:rsidRPr="003B27CD">
        <w:rPr>
          <w:rFonts w:cstheme="minorHAnsi"/>
        </w:rPr>
        <w:t>Assist in the development of firms that can compete successfully in the marketplace outside the DBE program.</w:t>
      </w:r>
    </w:p>
    <w:p w14:paraId="2BEBE5DA" w14:textId="77777777" w:rsidR="00FB0AB6" w:rsidRPr="003B27CD" w:rsidRDefault="00FB0AB6" w:rsidP="00FB0AB6">
      <w:pPr>
        <w:rPr>
          <w:rFonts w:cstheme="minorHAnsi"/>
        </w:rPr>
      </w:pPr>
      <w:r w:rsidRPr="003B27CD">
        <w:rPr>
          <w:rFonts w:cstheme="minorHAnsi"/>
        </w:rPr>
        <w:t xml:space="preserve">This Contract is subject to 49 C.F.R. part 26. Therefore, the Contractor must satisfy the requirements for DBE participation as set forth herein. These requirements are in addition to all other equal opportunity employment requirements of this Contract. The AGENCY shall make all determinations </w:t>
      </w:r>
      <w:proofErr w:type="gramStart"/>
      <w:r w:rsidRPr="003B27CD">
        <w:rPr>
          <w:rFonts w:cstheme="minorHAnsi"/>
        </w:rPr>
        <w:t>with regard to</w:t>
      </w:r>
      <w:proofErr w:type="gramEnd"/>
      <w:r w:rsidRPr="003B27CD">
        <w:rPr>
          <w:rFonts w:cstheme="minorHAnsi"/>
        </w:rPr>
        <w:t xml:space="preserve"> whether or not a Bidder/Offeror is in compliance with the requirements stated herein. In assessing compliance, the AGENCY may consider during its review of the Bidder/Offeror’s submission package, the Bidder/Offeror’s documented history of non-compliance with DBE requirements on previous contracts with the AGENCY.</w:t>
      </w:r>
    </w:p>
    <w:p w14:paraId="13DD9C30" w14:textId="77777777" w:rsidR="00FB0AB6" w:rsidRPr="003B27CD" w:rsidRDefault="00FB0AB6" w:rsidP="00FB0AB6">
      <w:pPr>
        <w:jc w:val="center"/>
        <w:rPr>
          <w:rFonts w:cstheme="minorHAnsi"/>
          <w:b/>
        </w:rPr>
      </w:pPr>
      <w:r w:rsidRPr="003B27CD">
        <w:rPr>
          <w:rFonts w:cstheme="minorHAnsi"/>
          <w:b/>
        </w:rPr>
        <w:t>Contract Assurance</w:t>
      </w:r>
    </w:p>
    <w:p w14:paraId="37BD958F" w14:textId="77777777" w:rsidR="00FB0AB6" w:rsidRPr="003B27CD" w:rsidRDefault="00FB0AB6" w:rsidP="00FB0AB6">
      <w:pPr>
        <w:rPr>
          <w:rFonts w:cstheme="minorHAnsi"/>
        </w:rPr>
      </w:pPr>
      <w:r w:rsidRPr="003B27CD">
        <w:rPr>
          <w:rFonts w:cstheme="minorHAnsi"/>
        </w:rPr>
        <w:t xml:space="preserve">The Contractor, subrecipient or subcontractor shall not discriminate </w:t>
      </w:r>
      <w:proofErr w:type="gramStart"/>
      <w:r w:rsidRPr="003B27CD">
        <w:rPr>
          <w:rFonts w:cstheme="minorHAnsi"/>
        </w:rPr>
        <w:t>on the basis of</w:t>
      </w:r>
      <w:proofErr w:type="gramEnd"/>
      <w:r w:rsidRPr="003B27CD">
        <w:rPr>
          <w:rFonts w:cstheme="minorHAnsi"/>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AGENCY deems appropriate.</w:t>
      </w:r>
    </w:p>
    <w:p w14:paraId="7F1F6AA8" w14:textId="77777777" w:rsidR="00FB0AB6" w:rsidRPr="003B27CD" w:rsidRDefault="00FB0AB6" w:rsidP="00FB0AB6">
      <w:pPr>
        <w:rPr>
          <w:rFonts w:cstheme="minorHAnsi"/>
        </w:rPr>
      </w:pPr>
    </w:p>
    <w:p w14:paraId="734BBBD2" w14:textId="77777777" w:rsidR="00FB0AB6" w:rsidRPr="003B27CD" w:rsidRDefault="00FB0AB6" w:rsidP="00FB0AB6">
      <w:pPr>
        <w:rPr>
          <w:rFonts w:cstheme="minorHAnsi"/>
          <w:b/>
        </w:rPr>
      </w:pPr>
      <w:r w:rsidRPr="003B27CD">
        <w:rPr>
          <w:rFonts w:cstheme="minorHAnsi"/>
        </w:rPr>
        <w:tab/>
      </w:r>
      <w:r w:rsidRPr="003B27CD">
        <w:rPr>
          <w:rFonts w:cstheme="minorHAnsi"/>
          <w:b/>
        </w:rPr>
        <w:t>DBE Participation</w:t>
      </w:r>
    </w:p>
    <w:p w14:paraId="3B714CD1" w14:textId="77777777" w:rsidR="00FB0AB6" w:rsidRPr="003B27CD" w:rsidRDefault="00FB0AB6" w:rsidP="00FB0AB6">
      <w:pPr>
        <w:rPr>
          <w:rFonts w:cstheme="minorHAnsi"/>
        </w:rPr>
      </w:pPr>
      <w:r w:rsidRPr="003B27CD">
        <w:rPr>
          <w:rFonts w:cstheme="minorHAnsi"/>
          <w:b/>
        </w:rPr>
        <w:tab/>
      </w:r>
      <w:proofErr w:type="gramStart"/>
      <w:r w:rsidRPr="003B27CD">
        <w:rPr>
          <w:rFonts w:cstheme="minorHAnsi"/>
        </w:rPr>
        <w:t>For the purpose of</w:t>
      </w:r>
      <w:proofErr w:type="gramEnd"/>
      <w:r w:rsidRPr="003B27CD">
        <w:rPr>
          <w:rFonts w:cstheme="minorHAnsi"/>
        </w:rPr>
        <w:t xml:space="preserve"> this Contract, the AGENCY will accept only DBE’s who are:</w:t>
      </w:r>
    </w:p>
    <w:p w14:paraId="049CCC90" w14:textId="77777777" w:rsidR="00FB0AB6" w:rsidRPr="003B27CD" w:rsidRDefault="00FB0AB6" w:rsidP="00FB0AB6">
      <w:pPr>
        <w:pStyle w:val="ListParagraph"/>
        <w:numPr>
          <w:ilvl w:val="0"/>
          <w:numId w:val="11"/>
        </w:numPr>
        <w:spacing w:after="200" w:line="276" w:lineRule="auto"/>
        <w:rPr>
          <w:rFonts w:cstheme="minorHAnsi"/>
        </w:rPr>
      </w:pPr>
      <w:r w:rsidRPr="003B27CD">
        <w:rPr>
          <w:rFonts w:cstheme="minorHAnsi"/>
        </w:rPr>
        <w:t>Certified, at the time of bid opening or proposal evaluation, by the [certifying agency or the Unified Certification Program (UCP)]; or</w:t>
      </w:r>
    </w:p>
    <w:p w14:paraId="0E60739A" w14:textId="77777777" w:rsidR="00FB0AB6" w:rsidRPr="003B27CD" w:rsidRDefault="00FB0AB6" w:rsidP="00FB0AB6">
      <w:pPr>
        <w:pStyle w:val="ListParagraph"/>
        <w:numPr>
          <w:ilvl w:val="0"/>
          <w:numId w:val="11"/>
        </w:numPr>
        <w:spacing w:after="200" w:line="276" w:lineRule="auto"/>
        <w:rPr>
          <w:rFonts w:cstheme="minorHAnsi"/>
        </w:rPr>
      </w:pPr>
      <w:r w:rsidRPr="003B27CD">
        <w:rPr>
          <w:rFonts w:cstheme="minorHAnsi"/>
        </w:rPr>
        <w:t>An out-of-state firm who has been certified by either a local government, state government or Federal government entity authorized to certify DBE status or an agency whose DBE certification process has received FTA approval; or</w:t>
      </w:r>
    </w:p>
    <w:p w14:paraId="253F92C5" w14:textId="77777777" w:rsidR="00FB0AB6" w:rsidRPr="003B27CD" w:rsidRDefault="00FB0AB6" w:rsidP="00FB0AB6">
      <w:pPr>
        <w:pStyle w:val="ListParagraph"/>
        <w:numPr>
          <w:ilvl w:val="0"/>
          <w:numId w:val="11"/>
        </w:numPr>
        <w:spacing w:after="200" w:line="276" w:lineRule="auto"/>
        <w:rPr>
          <w:rFonts w:cstheme="minorHAnsi"/>
        </w:rPr>
      </w:pPr>
      <w:r w:rsidRPr="003B27CD">
        <w:rPr>
          <w:rFonts w:cstheme="minorHAnsi"/>
        </w:rPr>
        <w:t xml:space="preserve">Certified by another agency approved by the </w:t>
      </w:r>
      <w:proofErr w:type="gramStart"/>
      <w:r w:rsidRPr="003B27CD">
        <w:rPr>
          <w:rFonts w:cstheme="minorHAnsi"/>
        </w:rPr>
        <w:t>AGENCY</w:t>
      </w:r>
      <w:proofErr w:type="gramEnd"/>
    </w:p>
    <w:p w14:paraId="12EE4F69" w14:textId="77777777" w:rsidR="00FB0AB6" w:rsidRPr="003B27CD" w:rsidRDefault="00FB0AB6" w:rsidP="00FB0AB6">
      <w:pPr>
        <w:jc w:val="center"/>
        <w:rPr>
          <w:rFonts w:cstheme="minorHAnsi"/>
          <w:b/>
        </w:rPr>
      </w:pPr>
      <w:r w:rsidRPr="003B27CD">
        <w:rPr>
          <w:rFonts w:cstheme="minorHAnsi"/>
          <w:b/>
        </w:rPr>
        <w:t>DBE Participation Goal</w:t>
      </w:r>
    </w:p>
    <w:p w14:paraId="5B691954" w14:textId="77777777" w:rsidR="00FB0AB6" w:rsidRDefault="00FB0AB6" w:rsidP="00FB0AB6">
      <w:pPr>
        <w:rPr>
          <w:rFonts w:cstheme="minorHAnsi"/>
        </w:rPr>
      </w:pPr>
      <w:r w:rsidRPr="003B27CD">
        <w:rPr>
          <w:rFonts w:cstheme="minorHAnsi"/>
        </w:rPr>
        <w:t>The DBE participation goal for this Contract is set at 3.75%. This goal represents those elements of work under this Contract performed by qualified Disadvantaged Business Enterprises for amounts totaling not less than % of the total Contract price. Failure to meet the stated goal at the time of proposal submission may render the Bidder/Offeror non-responsive.</w:t>
      </w:r>
    </w:p>
    <w:p w14:paraId="3F59C7A0" w14:textId="724C14D9" w:rsidR="00C96102" w:rsidRDefault="00C96102">
      <w:pPr>
        <w:rPr>
          <w:rFonts w:cstheme="minorHAnsi"/>
        </w:rPr>
      </w:pPr>
      <w:r>
        <w:rPr>
          <w:rFonts w:cstheme="minorHAnsi"/>
        </w:rPr>
        <w:br w:type="page"/>
      </w:r>
    </w:p>
    <w:p w14:paraId="69FD8F78" w14:textId="77777777" w:rsidR="00FB0AB6" w:rsidRPr="003B27CD" w:rsidRDefault="00FB0AB6" w:rsidP="00FB0AB6">
      <w:pPr>
        <w:jc w:val="center"/>
        <w:rPr>
          <w:rFonts w:cstheme="minorHAnsi"/>
          <w:b/>
        </w:rPr>
      </w:pPr>
      <w:r w:rsidRPr="003B27CD">
        <w:rPr>
          <w:rFonts w:cstheme="minorHAnsi"/>
          <w:b/>
        </w:rPr>
        <w:lastRenderedPageBreak/>
        <w:t>Proposed Submission</w:t>
      </w:r>
    </w:p>
    <w:p w14:paraId="3F75D446" w14:textId="77777777" w:rsidR="00FB0AB6" w:rsidRPr="003B27CD" w:rsidRDefault="00FB0AB6" w:rsidP="00FB0AB6">
      <w:pPr>
        <w:rPr>
          <w:rFonts w:cstheme="minorHAnsi"/>
        </w:rPr>
      </w:pPr>
      <w:r w:rsidRPr="003B27CD">
        <w:rPr>
          <w:rFonts w:cstheme="minorHAnsi"/>
        </w:rPr>
        <w:t>Each Bidder/Offeror, as part of its submission, shall supply the following information:</w:t>
      </w:r>
    </w:p>
    <w:p w14:paraId="265D4791" w14:textId="77777777" w:rsidR="00FB0AB6" w:rsidRPr="003B27CD" w:rsidRDefault="00FB0AB6" w:rsidP="00FB0AB6">
      <w:pPr>
        <w:pStyle w:val="ListParagraph"/>
        <w:numPr>
          <w:ilvl w:val="0"/>
          <w:numId w:val="12"/>
        </w:numPr>
        <w:spacing w:after="200" w:line="276" w:lineRule="auto"/>
        <w:rPr>
          <w:rFonts w:cstheme="minorHAnsi"/>
          <w:b/>
        </w:rPr>
      </w:pPr>
      <w:r w:rsidRPr="003B27CD">
        <w:rPr>
          <w:rFonts w:cstheme="minorHAnsi"/>
        </w:rPr>
        <w:t>A completed DBE Utilization Form (see below) that indicates the percentage and dollar value of the total bid/contract amount to be supplied by Disadvantaged Business Enterprises under this Contract.</w:t>
      </w:r>
    </w:p>
    <w:p w14:paraId="638F39C0" w14:textId="77777777" w:rsidR="00FB0AB6" w:rsidRPr="003B27CD" w:rsidRDefault="00FB0AB6" w:rsidP="00FB0AB6">
      <w:pPr>
        <w:pStyle w:val="ListParagraph"/>
        <w:numPr>
          <w:ilvl w:val="0"/>
          <w:numId w:val="12"/>
        </w:numPr>
        <w:spacing w:after="200" w:line="276" w:lineRule="auto"/>
        <w:rPr>
          <w:rFonts w:cstheme="minorHAnsi"/>
          <w:b/>
        </w:rPr>
      </w:pPr>
      <w:r w:rsidRPr="003B27CD">
        <w:rPr>
          <w:rFonts w:cstheme="minorHAnsi"/>
        </w:rPr>
        <w:t xml:space="preserve">A list of those qualified DBE’s with whom the Bidder/Offeror intends to contract for the performance of portions of the work under the Contract, the agreed price to be paid to each DBE for work, the Contract items or parts to be performed by each DBE, a proposed timetable for the performance or delivery of the Contract item, and other information as required by the DBE Participation Schedule (see below). No work shall be included in the Schedule that the Bidder/Offeror has reason to believe the listed DBE will subcontract, at any tier, to other than another DBE. If awarded the Contract, the Bidder/Offeror may not deviate from the DBE Participation Schedule submitted in response to the bid. Any subsequent changes and/or substitutions of DBE firms will require review and written approval by the </w:t>
      </w:r>
      <w:proofErr w:type="gramStart"/>
      <w:r w:rsidRPr="003B27CD">
        <w:rPr>
          <w:rFonts w:cstheme="minorHAnsi"/>
        </w:rPr>
        <w:t>AGENCY</w:t>
      </w:r>
      <w:proofErr w:type="gramEnd"/>
    </w:p>
    <w:p w14:paraId="08A75DCF" w14:textId="77777777" w:rsidR="00FB0AB6" w:rsidRPr="003B27CD" w:rsidRDefault="00FB0AB6" w:rsidP="00FB0AB6">
      <w:pPr>
        <w:pStyle w:val="ListParagraph"/>
        <w:numPr>
          <w:ilvl w:val="0"/>
          <w:numId w:val="12"/>
        </w:numPr>
        <w:spacing w:after="200" w:line="276" w:lineRule="auto"/>
        <w:rPr>
          <w:rFonts w:cstheme="minorHAnsi"/>
          <w:b/>
        </w:rPr>
      </w:pPr>
      <w:r w:rsidRPr="003B27CD">
        <w:rPr>
          <w:rFonts w:cstheme="minorHAnsi"/>
        </w:rPr>
        <w:t>An original DBE Letter of Intent (see below) from each DBE listed in the DBE Participation Schedule.</w:t>
      </w:r>
    </w:p>
    <w:p w14:paraId="17C6869F" w14:textId="77777777" w:rsidR="00FB0AB6" w:rsidRPr="003B27CD" w:rsidRDefault="00FB0AB6" w:rsidP="00FB0AB6">
      <w:pPr>
        <w:pStyle w:val="ListParagraph"/>
        <w:numPr>
          <w:ilvl w:val="0"/>
          <w:numId w:val="12"/>
        </w:numPr>
        <w:spacing w:after="200" w:line="276" w:lineRule="auto"/>
        <w:rPr>
          <w:rFonts w:cstheme="minorHAnsi"/>
          <w:b/>
        </w:rPr>
      </w:pPr>
      <w:r w:rsidRPr="003B27CD">
        <w:rPr>
          <w:rFonts w:cstheme="minorHAnsi"/>
        </w:rPr>
        <w:t>An original DBE Affidavit (see below) from each DBE stating that there has not been any change in its status since the date of its last certification.</w:t>
      </w:r>
    </w:p>
    <w:p w14:paraId="362752FC" w14:textId="77777777" w:rsidR="00FB0AB6" w:rsidRPr="003B27CD" w:rsidRDefault="00FB0AB6" w:rsidP="00FB0AB6">
      <w:pPr>
        <w:pStyle w:val="ListParagraph"/>
        <w:rPr>
          <w:rFonts w:cstheme="minorHAnsi"/>
          <w:b/>
        </w:rPr>
      </w:pPr>
    </w:p>
    <w:p w14:paraId="1DA7637E" w14:textId="77777777" w:rsidR="00FB0AB6" w:rsidRPr="003B27CD" w:rsidRDefault="00FB0AB6" w:rsidP="00FB0AB6">
      <w:pPr>
        <w:jc w:val="center"/>
        <w:rPr>
          <w:rFonts w:cstheme="minorHAnsi"/>
          <w:b/>
        </w:rPr>
      </w:pPr>
      <w:r w:rsidRPr="003B27CD">
        <w:rPr>
          <w:rFonts w:cstheme="minorHAnsi"/>
          <w:b/>
        </w:rPr>
        <w:t>Good Faith Efforts</w:t>
      </w:r>
    </w:p>
    <w:p w14:paraId="39A0995D" w14:textId="77777777" w:rsidR="00FB0AB6" w:rsidRPr="003B27CD" w:rsidRDefault="00FB0AB6" w:rsidP="00FB0AB6">
      <w:pPr>
        <w:rPr>
          <w:rFonts w:cstheme="minorHAnsi"/>
        </w:rPr>
      </w:pPr>
      <w:r w:rsidRPr="003B27CD">
        <w:rPr>
          <w:rFonts w:cstheme="minorHAnsi"/>
        </w:rPr>
        <w:t>If the Bidder/Offeror is unable to meet the goal set forth above (DBE Participation Goal), the AGENCY will consider the Bidder/Offeror’s documented good faith efforts to meet the goal in determining responsiveness. The types of actions that the AGENCY will consider as part of the Bidder/Offeror’s good faith efforts include, but are not limited to, the following:</w:t>
      </w:r>
    </w:p>
    <w:p w14:paraId="61284E4A" w14:textId="77777777" w:rsidR="00FB0AB6" w:rsidRPr="003B27CD" w:rsidRDefault="00FB0AB6" w:rsidP="00FB0AB6">
      <w:pPr>
        <w:pStyle w:val="ListParagraph"/>
        <w:numPr>
          <w:ilvl w:val="0"/>
          <w:numId w:val="13"/>
        </w:numPr>
        <w:spacing w:after="200" w:line="276" w:lineRule="auto"/>
        <w:rPr>
          <w:rFonts w:cstheme="minorHAnsi"/>
          <w:b/>
        </w:rPr>
      </w:pPr>
      <w:r w:rsidRPr="003B27CD">
        <w:rPr>
          <w:rFonts w:cstheme="minorHAnsi"/>
        </w:rPr>
        <w:t>Documented communication with the AGENCY’s DBE Coordinator (questions of IFB or RFP requirements, subcontracting opportunities, appropriate certification, will be addressed in a timely fashion</w:t>
      </w:r>
      <w:proofErr w:type="gramStart"/>
      <w:r w:rsidRPr="003B27CD">
        <w:rPr>
          <w:rFonts w:cstheme="minorHAnsi"/>
        </w:rPr>
        <w:t>);</w:t>
      </w:r>
      <w:proofErr w:type="gramEnd"/>
    </w:p>
    <w:p w14:paraId="62504DFD" w14:textId="77777777" w:rsidR="00FB0AB6" w:rsidRPr="003B27CD" w:rsidRDefault="00FB0AB6" w:rsidP="00FB0AB6">
      <w:pPr>
        <w:pStyle w:val="ListParagraph"/>
        <w:numPr>
          <w:ilvl w:val="0"/>
          <w:numId w:val="13"/>
        </w:numPr>
        <w:spacing w:after="200" w:line="276" w:lineRule="auto"/>
        <w:rPr>
          <w:rFonts w:cstheme="minorHAnsi"/>
          <w:b/>
        </w:rPr>
      </w:pPr>
      <w:r w:rsidRPr="003B27CD">
        <w:rPr>
          <w:rFonts w:cstheme="minorHAnsi"/>
        </w:rPr>
        <w:t xml:space="preserve">Pre-bid meeting attendance. At the pre-bid meeting, the AGENCY generally informs potential Bidder/Offeror’s of DBE subcontracting </w:t>
      </w:r>
      <w:proofErr w:type="gramStart"/>
      <w:r w:rsidRPr="003B27CD">
        <w:rPr>
          <w:rFonts w:cstheme="minorHAnsi"/>
        </w:rPr>
        <w:t>opportunities;</w:t>
      </w:r>
      <w:proofErr w:type="gramEnd"/>
    </w:p>
    <w:p w14:paraId="3DCCCC56" w14:textId="77777777" w:rsidR="00FB0AB6" w:rsidRPr="003B27CD" w:rsidRDefault="00FB0AB6" w:rsidP="00FB0AB6">
      <w:pPr>
        <w:pStyle w:val="ListParagraph"/>
        <w:numPr>
          <w:ilvl w:val="0"/>
          <w:numId w:val="13"/>
        </w:numPr>
        <w:spacing w:after="200" w:line="276" w:lineRule="auto"/>
        <w:rPr>
          <w:rFonts w:cstheme="minorHAnsi"/>
          <w:b/>
        </w:rPr>
      </w:pPr>
      <w:r w:rsidRPr="003B27CD">
        <w:rPr>
          <w:rFonts w:cstheme="minorHAnsi"/>
        </w:rPr>
        <w:t xml:space="preserve">The Bidder/Offeror’s own solicitations to obtain DBE involvement in general circulation media, trade association publication, minority-focus media and other reasonable and available means within sufficient time to allow DBEs to respond to the </w:t>
      </w:r>
      <w:proofErr w:type="gramStart"/>
      <w:r w:rsidRPr="003B27CD">
        <w:rPr>
          <w:rFonts w:cstheme="minorHAnsi"/>
        </w:rPr>
        <w:t>solicitation;</w:t>
      </w:r>
      <w:proofErr w:type="gramEnd"/>
    </w:p>
    <w:p w14:paraId="74C7C885" w14:textId="77777777" w:rsidR="00FB0AB6" w:rsidRPr="003B27CD" w:rsidRDefault="00FB0AB6" w:rsidP="00FB0AB6">
      <w:pPr>
        <w:pStyle w:val="ListParagraph"/>
        <w:numPr>
          <w:ilvl w:val="0"/>
          <w:numId w:val="13"/>
        </w:numPr>
        <w:spacing w:after="200" w:line="276" w:lineRule="auto"/>
        <w:rPr>
          <w:rFonts w:cstheme="minorHAnsi"/>
          <w:b/>
        </w:rPr>
      </w:pPr>
      <w:r w:rsidRPr="003B27CD">
        <w:rPr>
          <w:rFonts w:cstheme="minorHAnsi"/>
        </w:rPr>
        <w:t xml:space="preserve"> Written notification to DBE’s encouraging participation in the proposed Contract; and </w:t>
      </w:r>
    </w:p>
    <w:p w14:paraId="2F6488E2" w14:textId="77777777" w:rsidR="00FB0AB6" w:rsidRPr="003B27CD" w:rsidRDefault="00FB0AB6" w:rsidP="00FB0AB6">
      <w:pPr>
        <w:pStyle w:val="ListParagraph"/>
        <w:numPr>
          <w:ilvl w:val="0"/>
          <w:numId w:val="13"/>
        </w:numPr>
        <w:spacing w:after="200" w:line="276" w:lineRule="auto"/>
        <w:rPr>
          <w:rFonts w:cstheme="minorHAnsi"/>
          <w:b/>
        </w:rPr>
      </w:pPr>
      <w:r w:rsidRPr="003B27CD">
        <w:rPr>
          <w:rFonts w:cstheme="minorHAnsi"/>
        </w:rPr>
        <w:t>Efforts made to identify specific portions of the work that might be performed by DBE’s.</w:t>
      </w:r>
    </w:p>
    <w:p w14:paraId="3EE4159A" w14:textId="77777777" w:rsidR="00FB0AB6" w:rsidRPr="003B27CD" w:rsidRDefault="00FB0AB6" w:rsidP="00FB0AB6">
      <w:pPr>
        <w:rPr>
          <w:rFonts w:cstheme="minorHAnsi"/>
        </w:rPr>
      </w:pPr>
      <w:r w:rsidRPr="003B27CD">
        <w:rPr>
          <w:rFonts w:cstheme="minorHAnsi"/>
        </w:rPr>
        <w:t xml:space="preserve">The Bidder/Offeror shall provide the following details, at a minimum, of the specific efforts it made to negotiate in good faith with </w:t>
      </w:r>
      <w:proofErr w:type="gramStart"/>
      <w:r w:rsidRPr="003B27CD">
        <w:rPr>
          <w:rFonts w:cstheme="minorHAnsi"/>
        </w:rPr>
        <w:t>DBE’s</w:t>
      </w:r>
      <w:proofErr w:type="gramEnd"/>
      <w:r w:rsidRPr="003B27CD">
        <w:rPr>
          <w:rFonts w:cstheme="minorHAnsi"/>
        </w:rPr>
        <w:t xml:space="preserve"> for elements of the Contract:</w:t>
      </w:r>
    </w:p>
    <w:p w14:paraId="4F1D8412" w14:textId="77777777" w:rsidR="00FB0AB6" w:rsidRPr="003B27CD" w:rsidRDefault="00FB0AB6" w:rsidP="00FB0AB6">
      <w:pPr>
        <w:pStyle w:val="ListParagraph"/>
        <w:numPr>
          <w:ilvl w:val="0"/>
          <w:numId w:val="14"/>
        </w:numPr>
        <w:spacing w:after="200" w:line="276" w:lineRule="auto"/>
        <w:rPr>
          <w:rFonts w:cstheme="minorHAnsi"/>
          <w:b/>
        </w:rPr>
      </w:pPr>
      <w:r w:rsidRPr="003B27CD">
        <w:rPr>
          <w:rFonts w:cstheme="minorHAnsi"/>
        </w:rPr>
        <w:lastRenderedPageBreak/>
        <w:t xml:space="preserve">The names, addresses, and telephone numbers of DBE’s that were </w:t>
      </w:r>
      <w:proofErr w:type="gramStart"/>
      <w:r w:rsidRPr="003B27CD">
        <w:rPr>
          <w:rFonts w:cstheme="minorHAnsi"/>
        </w:rPr>
        <w:t>contacted;</w:t>
      </w:r>
      <w:proofErr w:type="gramEnd"/>
    </w:p>
    <w:p w14:paraId="3A607930" w14:textId="77777777" w:rsidR="00FB0AB6" w:rsidRPr="003B27CD" w:rsidRDefault="00FB0AB6" w:rsidP="00FB0AB6">
      <w:pPr>
        <w:pStyle w:val="ListParagraph"/>
        <w:numPr>
          <w:ilvl w:val="0"/>
          <w:numId w:val="14"/>
        </w:numPr>
        <w:spacing w:after="200" w:line="276" w:lineRule="auto"/>
        <w:rPr>
          <w:rFonts w:cstheme="minorHAnsi"/>
          <w:b/>
        </w:rPr>
      </w:pPr>
      <w:r w:rsidRPr="003B27CD">
        <w:rPr>
          <w:rFonts w:cstheme="minorHAnsi"/>
        </w:rPr>
        <w:t xml:space="preserve"> A description of the information provided to targeted DBE’s regarding the specifications and bid proposals for portions of the </w:t>
      </w:r>
      <w:proofErr w:type="gramStart"/>
      <w:r w:rsidRPr="003B27CD">
        <w:rPr>
          <w:rFonts w:cstheme="minorHAnsi"/>
        </w:rPr>
        <w:t>work;</w:t>
      </w:r>
      <w:proofErr w:type="gramEnd"/>
    </w:p>
    <w:p w14:paraId="2215E754" w14:textId="77777777" w:rsidR="00FB0AB6" w:rsidRPr="003B27CD" w:rsidRDefault="00FB0AB6" w:rsidP="00FB0AB6">
      <w:pPr>
        <w:pStyle w:val="ListParagraph"/>
        <w:numPr>
          <w:ilvl w:val="0"/>
          <w:numId w:val="14"/>
        </w:numPr>
        <w:spacing w:after="200" w:line="276" w:lineRule="auto"/>
        <w:rPr>
          <w:rFonts w:cstheme="minorHAnsi"/>
          <w:b/>
        </w:rPr>
      </w:pPr>
      <w:r w:rsidRPr="003B27CD">
        <w:rPr>
          <w:rFonts w:cstheme="minorHAnsi"/>
        </w:rPr>
        <w:t xml:space="preserve">Efforts made to assist </w:t>
      </w:r>
      <w:proofErr w:type="gramStart"/>
      <w:r w:rsidRPr="003B27CD">
        <w:rPr>
          <w:rFonts w:cstheme="minorHAnsi"/>
        </w:rPr>
        <w:t>DBE’s</w:t>
      </w:r>
      <w:proofErr w:type="gramEnd"/>
      <w:r w:rsidRPr="003B27CD">
        <w:rPr>
          <w:rFonts w:cstheme="minorHAnsi"/>
        </w:rPr>
        <w:t xml:space="preserve"> contacted in obtaining bonding or insurance required by the Bidder or the Authority.</w:t>
      </w:r>
    </w:p>
    <w:p w14:paraId="3D584088" w14:textId="77777777" w:rsidR="00FB0AB6" w:rsidRPr="003B27CD" w:rsidRDefault="00FB0AB6" w:rsidP="00FB0AB6">
      <w:pPr>
        <w:rPr>
          <w:rFonts w:cstheme="minorHAnsi"/>
        </w:rPr>
      </w:pPr>
      <w:r w:rsidRPr="003B27CD">
        <w:rPr>
          <w:rFonts w:cstheme="minorHAnsi"/>
        </w:rPr>
        <w:t xml:space="preserve">Further, the documentation of good faith efforts must include copies of each DBE and non-DBE subcontractor quote submitted when a non-DBE subcontractor was selected over a DBE for work on the contract. 49 C.F.R. § 26.53(b) (2) (VI). In determining whether a Bidder has made good faith efforts, the Authority may </w:t>
      </w:r>
      <w:proofErr w:type="gramStart"/>
      <w:r w:rsidRPr="003B27CD">
        <w:rPr>
          <w:rFonts w:cstheme="minorHAnsi"/>
        </w:rPr>
        <w:t>take into account</w:t>
      </w:r>
      <w:proofErr w:type="gramEnd"/>
      <w:r w:rsidRPr="003B27CD">
        <w:rPr>
          <w:rFonts w:cstheme="minorHAnsi"/>
        </w:rPr>
        <w:t xml:space="preserve"> the performance of other Bidders in meeting the Contract goals. For example, if the apparent successful Bidder failed to meet the </w:t>
      </w:r>
      <w:proofErr w:type="gramStart"/>
      <w:r w:rsidRPr="003B27CD">
        <w:rPr>
          <w:rFonts w:cstheme="minorHAnsi"/>
        </w:rPr>
        <w:t>goal, but</w:t>
      </w:r>
      <w:proofErr w:type="gramEnd"/>
      <w:r w:rsidRPr="003B27CD">
        <w:rPr>
          <w:rFonts w:cstheme="minorHAnsi"/>
        </w:rPr>
        <w:t xml:space="preserve"> meets or exceeds the average DBE participation obtained by other Bidders, the Authority may view this as evidence of the Bidder having made good faith efforts.</w:t>
      </w:r>
    </w:p>
    <w:p w14:paraId="038EF3DE" w14:textId="77777777" w:rsidR="00FB0AB6" w:rsidRPr="003B27CD" w:rsidRDefault="00FB0AB6" w:rsidP="00FB0AB6">
      <w:pPr>
        <w:jc w:val="center"/>
        <w:rPr>
          <w:rFonts w:cstheme="minorHAnsi"/>
          <w:b/>
        </w:rPr>
      </w:pPr>
      <w:r w:rsidRPr="003B27CD">
        <w:rPr>
          <w:rFonts w:cstheme="minorHAnsi"/>
          <w:b/>
        </w:rPr>
        <w:t>Administrative Reconsideration</w:t>
      </w:r>
    </w:p>
    <w:p w14:paraId="1E2E32D7" w14:textId="77777777" w:rsidR="00FB0AB6" w:rsidRPr="003B27CD" w:rsidRDefault="00FB0AB6" w:rsidP="00FB0AB6">
      <w:pPr>
        <w:rPr>
          <w:rFonts w:cstheme="minorHAnsi"/>
        </w:rPr>
      </w:pPr>
      <w:r w:rsidRPr="003B27CD">
        <w:rPr>
          <w:rFonts w:cstheme="minorHAnsi"/>
        </w:rPr>
        <w:t>Within five (5) business days of being informed by the AGENCY that it is not responsive or responsible because it has not documented sufficient good faith efforts, the Bidder/Offeror may request administrative reconsideration. The Bidder should make this request in writing to the AGENCY’s [Contact Name]. The [Contact Name] will forward the Bidder/Offeror’s request to a reconsideration official who will not have played any role in the original determination that the Bidder/Offeror did not document sufficient good faith efforts.</w:t>
      </w:r>
    </w:p>
    <w:p w14:paraId="6D611581" w14:textId="77777777" w:rsidR="00FB0AB6" w:rsidRPr="003B27CD" w:rsidRDefault="00FB0AB6" w:rsidP="00FB0AB6">
      <w:pPr>
        <w:rPr>
          <w:rFonts w:cstheme="minorHAnsi"/>
          <w:b/>
        </w:rPr>
      </w:pPr>
      <w:r w:rsidRPr="003B27CD">
        <w:rPr>
          <w:rFonts w:cstheme="minorHAnsi"/>
        </w:rPr>
        <w:t>As part of this reconsideration, the Bidder/Offeror will have the opportunity to provide written documentation or argument concerning the issue of whether it met the goal or made adequate good faith efforts to do so. The Bidder/Offeror will have the opportunity to meet in person with the assigned reconsideration official to discuss the issue of whether it met the goal or made adequate good faith efforts to do so. The AGENCY will send the Bidder/Offeror a written decision on its reconsideration, explaining the basis for finding that the Bidder/Offeror did or did not meet the goal or make adequate good faith efforts to do so. The result of the reconsideration process is not administratively appealable to the Department of Transportation.</w:t>
      </w:r>
    </w:p>
    <w:p w14:paraId="4082E6EE" w14:textId="77777777" w:rsidR="00FB0AB6" w:rsidRPr="003B27CD" w:rsidRDefault="00FB0AB6" w:rsidP="00FB0AB6">
      <w:pPr>
        <w:jc w:val="center"/>
        <w:rPr>
          <w:rFonts w:cstheme="minorHAnsi"/>
          <w:b/>
        </w:rPr>
      </w:pPr>
      <w:r w:rsidRPr="003B27CD">
        <w:rPr>
          <w:rFonts w:cstheme="minorHAnsi"/>
          <w:b/>
        </w:rPr>
        <w:t>Termination of DBE Subcontractor</w:t>
      </w:r>
    </w:p>
    <w:p w14:paraId="78E2160B" w14:textId="77777777" w:rsidR="00FB0AB6" w:rsidRPr="003B27CD" w:rsidRDefault="00FB0AB6" w:rsidP="00FB0AB6">
      <w:pPr>
        <w:rPr>
          <w:rFonts w:cstheme="minorHAnsi"/>
        </w:rPr>
      </w:pPr>
      <w:r w:rsidRPr="003B27CD">
        <w:rPr>
          <w:rFonts w:cstheme="minorHAnsi"/>
        </w:rPr>
        <w:t xml:space="preserve">The Contractor shall not terminate the DBE subcontractor(s) listed in the DBE Participation Schedule (see below) without the AGENCY’s prior written consent. The AGENCY may provide such written consent only if the Contractor has good cause to terminate the DBE firm. Before transmitting a request to terminate, the Contractor shall give notice in writing to the DBE subcontractor of its intent to terminate and the reason for the request. The Contractor shall give the DBE five days to respond to the notice and advise of the reasons why it objects to the proposed termination. When a DBE subcontractor is terminated or fails to complete its work on the Contract for any reason, the Contractor shall make good faith efforts to find another DBE subcontractor to substitute for the original DBE and immediately notify the AGENCY in writing of its efforts to replace the original DBE. These good faith efforts shall be directed at finding another DBE to perform at least the same amount of work under the Contract as the DBE that was </w:t>
      </w:r>
      <w:r w:rsidRPr="003B27CD">
        <w:rPr>
          <w:rFonts w:cstheme="minorHAnsi"/>
        </w:rPr>
        <w:lastRenderedPageBreak/>
        <w:t>terminated, to the extent needed to meet the Contract goal established for this procurement. Failure to comply with these requirements will be in accordance with Section 8 below (Sanctions for Violations).</w:t>
      </w:r>
    </w:p>
    <w:p w14:paraId="14749F2E" w14:textId="77777777" w:rsidR="00FB0AB6" w:rsidRPr="003B27CD" w:rsidRDefault="00FB0AB6" w:rsidP="00FB0AB6">
      <w:pPr>
        <w:jc w:val="center"/>
        <w:rPr>
          <w:rFonts w:cstheme="minorHAnsi"/>
          <w:b/>
        </w:rPr>
      </w:pPr>
      <w:r w:rsidRPr="003B27CD">
        <w:rPr>
          <w:rFonts w:cstheme="minorHAnsi"/>
          <w:b/>
        </w:rPr>
        <w:t>Continued Compliance</w:t>
      </w:r>
    </w:p>
    <w:p w14:paraId="590B72DD" w14:textId="77777777" w:rsidR="00FB0AB6" w:rsidRPr="003B27CD" w:rsidRDefault="00FB0AB6" w:rsidP="00FB0AB6">
      <w:pPr>
        <w:rPr>
          <w:rFonts w:cstheme="minorHAnsi"/>
        </w:rPr>
      </w:pPr>
      <w:r w:rsidRPr="003B27CD">
        <w:rPr>
          <w:rFonts w:cstheme="minorHAnsi"/>
        </w:rPr>
        <w:t>The AGENCY shall monitor the Contractor’s DBE compliance during the life of the Contract. In the event this procurement exceeds ninety (90) days, it will be the responsibility of the Contractor to submit quarterly written reports to the AGENCY that summarize the total DBE value for this Contract. These reports shall provide the following details:</w:t>
      </w:r>
    </w:p>
    <w:p w14:paraId="2742693F"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 xml:space="preserve">DBE utilization established for the </w:t>
      </w:r>
      <w:proofErr w:type="gramStart"/>
      <w:r w:rsidRPr="003B27CD">
        <w:rPr>
          <w:rFonts w:cstheme="minorHAnsi"/>
        </w:rPr>
        <w:t>Contract;</w:t>
      </w:r>
      <w:proofErr w:type="gramEnd"/>
    </w:p>
    <w:p w14:paraId="39CC4B03"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 xml:space="preserve">Total value of expenditures with DBE firms for the </w:t>
      </w:r>
      <w:proofErr w:type="gramStart"/>
      <w:r w:rsidRPr="003B27CD">
        <w:rPr>
          <w:rFonts w:cstheme="minorHAnsi"/>
        </w:rPr>
        <w:t>quarter;</w:t>
      </w:r>
      <w:proofErr w:type="gramEnd"/>
    </w:p>
    <w:p w14:paraId="6D66839C"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 xml:space="preserve">The value of expenditures with each DBE firm for the quarter by race and </w:t>
      </w:r>
      <w:proofErr w:type="gramStart"/>
      <w:r w:rsidRPr="003B27CD">
        <w:rPr>
          <w:rFonts w:cstheme="minorHAnsi"/>
        </w:rPr>
        <w:t>gender;</w:t>
      </w:r>
      <w:proofErr w:type="gramEnd"/>
    </w:p>
    <w:p w14:paraId="10D3E97E"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Total value of expenditures with DBE firms from inception of the Contract; and</w:t>
      </w:r>
    </w:p>
    <w:p w14:paraId="2CB136F4"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The value of expenditures with each DBE firm from the inception of the Contract by race and gender.</w:t>
      </w:r>
    </w:p>
    <w:p w14:paraId="2596009D" w14:textId="77777777" w:rsidR="00FB0AB6" w:rsidRPr="003B27CD" w:rsidRDefault="00FB0AB6" w:rsidP="00FB0AB6">
      <w:pPr>
        <w:rPr>
          <w:rFonts w:cstheme="minorHAnsi"/>
        </w:rPr>
      </w:pPr>
      <w:r w:rsidRPr="003B27CD">
        <w:rPr>
          <w:rFonts w:cstheme="minorHAnsi"/>
        </w:rPr>
        <w:t>Reports and other correspondence must be submitted to the DBE Coordinator with copies provided to the [Agency Name1] and [Agency Name2]. Reports shall continue to be submitted quarterly until final payment is issued or until DBE participation is completed.</w:t>
      </w:r>
    </w:p>
    <w:p w14:paraId="06A255F0" w14:textId="77777777" w:rsidR="00FB0AB6" w:rsidRPr="003B27CD" w:rsidRDefault="00FB0AB6" w:rsidP="00FB0AB6">
      <w:pPr>
        <w:rPr>
          <w:rFonts w:cstheme="minorHAnsi"/>
        </w:rPr>
      </w:pPr>
      <w:r w:rsidRPr="003B27CD">
        <w:rPr>
          <w:rFonts w:cstheme="minorHAnsi"/>
        </w:rPr>
        <w:tab/>
        <w:t>The successful Bidder/Offeror shall permit:</w:t>
      </w:r>
    </w:p>
    <w:p w14:paraId="1CC795EE"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 xml:space="preserve">The AGENCY to have access to necessary records to examine information as the AGENCY deems appropriate for the purpose of investigating and determining compliance with this provision, including, but not limited to, records of expenditures, invoices, and contract between the successful Bidder/Offeror and other DBE parties </w:t>
      </w:r>
      <w:proofErr w:type="gramStart"/>
      <w:r w:rsidRPr="003B27CD">
        <w:rPr>
          <w:rFonts w:cstheme="minorHAnsi"/>
        </w:rPr>
        <w:t>entered into</w:t>
      </w:r>
      <w:proofErr w:type="gramEnd"/>
      <w:r w:rsidRPr="003B27CD">
        <w:rPr>
          <w:rFonts w:cstheme="minorHAnsi"/>
        </w:rPr>
        <w:t xml:space="preserve"> during the life of the Contract. </w:t>
      </w:r>
    </w:p>
    <w:p w14:paraId="2FCF98B7"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The authorized representative(s) of the AGENCY, the U.S. Department of Transportation, the Comptroller General of the United States, to inspect and audit all data and record of the Contractor relating to its performance under the Disadvantaged Business Enterprise Participation provision of this Contract.</w:t>
      </w:r>
    </w:p>
    <w:p w14:paraId="4A22625F"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All data/record(s) pertaining to DBE shall be maintained as stated in Section [insert reference to record keeping requirements for the Project.]</w:t>
      </w:r>
    </w:p>
    <w:p w14:paraId="2424B1B4" w14:textId="77777777" w:rsidR="00FB0AB6" w:rsidRPr="003B27CD" w:rsidRDefault="00FB0AB6" w:rsidP="00FB0AB6">
      <w:pPr>
        <w:jc w:val="center"/>
        <w:rPr>
          <w:rFonts w:cstheme="minorHAnsi"/>
          <w:b/>
        </w:rPr>
      </w:pPr>
      <w:r w:rsidRPr="003B27CD">
        <w:rPr>
          <w:rFonts w:cstheme="minorHAnsi"/>
          <w:b/>
        </w:rPr>
        <w:t>Sanctions for Violations</w:t>
      </w:r>
    </w:p>
    <w:p w14:paraId="2EC1FC0A" w14:textId="77777777" w:rsidR="00FB0AB6" w:rsidRPr="003B27CD" w:rsidRDefault="00FB0AB6" w:rsidP="00FB0AB6">
      <w:pPr>
        <w:rPr>
          <w:rFonts w:cstheme="minorHAnsi"/>
        </w:rPr>
      </w:pPr>
      <w:r w:rsidRPr="003B27CD">
        <w:rPr>
          <w:rFonts w:cstheme="minorHAnsi"/>
        </w:rPr>
        <w:t>If at any time the AGENCY has reason to believe that the Contractor is in violation of its obligations under this Agreement or has otherwise failed to comply with terms of this Section, the AGENCY may, in addition to pursuing any other available legal remedy, commence proceedings, which may include but are not limited to, the following:</w:t>
      </w:r>
    </w:p>
    <w:p w14:paraId="62EEE791"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t>Suspension of any payment or part due the Contractor until such time as the issues concerning the Contractor’s compliance are resolved; and</w:t>
      </w:r>
    </w:p>
    <w:p w14:paraId="0236A103" w14:textId="77777777" w:rsidR="00FB0AB6" w:rsidRPr="003B27CD" w:rsidRDefault="00FB0AB6" w:rsidP="00FB0AB6">
      <w:pPr>
        <w:pStyle w:val="ListParagraph"/>
        <w:numPr>
          <w:ilvl w:val="0"/>
          <w:numId w:val="15"/>
        </w:numPr>
        <w:spacing w:after="200" w:line="276" w:lineRule="auto"/>
        <w:rPr>
          <w:rFonts w:cstheme="minorHAnsi"/>
          <w:b/>
        </w:rPr>
      </w:pPr>
      <w:r w:rsidRPr="003B27CD">
        <w:rPr>
          <w:rFonts w:cstheme="minorHAnsi"/>
        </w:rPr>
        <w:lastRenderedPageBreak/>
        <w:t xml:space="preserve">Termination or cancellation of the Contract, in whole or in part, unless the successful Contractor </w:t>
      </w:r>
      <w:proofErr w:type="gramStart"/>
      <w:r w:rsidRPr="003B27CD">
        <w:rPr>
          <w:rFonts w:cstheme="minorHAnsi"/>
        </w:rPr>
        <w:t>is able to</w:t>
      </w:r>
      <w:proofErr w:type="gramEnd"/>
      <w:r w:rsidRPr="003B27CD">
        <w:rPr>
          <w:rFonts w:cstheme="minorHAnsi"/>
        </w:rPr>
        <w:t xml:space="preserve"> demonstrate within a reasonable time that it is in compliance with the DBE terms stated herein.</w:t>
      </w:r>
    </w:p>
    <w:p w14:paraId="04CBA2D2" w14:textId="77777777" w:rsidR="00FB0AB6" w:rsidRPr="003B27CD" w:rsidRDefault="00FB0AB6" w:rsidP="00FB0AB6">
      <w:pPr>
        <w:jc w:val="center"/>
        <w:rPr>
          <w:rFonts w:cstheme="minorHAnsi"/>
          <w:b/>
        </w:rPr>
      </w:pPr>
      <w:r w:rsidRPr="003B27CD">
        <w:rPr>
          <w:rFonts w:cstheme="minorHAnsi"/>
          <w:b/>
        </w:rPr>
        <w:t>DBE UTILIZATION FORM</w:t>
      </w:r>
    </w:p>
    <w:p w14:paraId="133204A5" w14:textId="77777777" w:rsidR="00FB0AB6" w:rsidRPr="003B27CD" w:rsidRDefault="00FB0AB6" w:rsidP="00FB0AB6">
      <w:pPr>
        <w:rPr>
          <w:rFonts w:cstheme="minorHAnsi"/>
        </w:rPr>
      </w:pPr>
      <w:r w:rsidRPr="003B27CD">
        <w:rPr>
          <w:rFonts w:cstheme="minorHAnsi"/>
        </w:rPr>
        <w:t>The undersigned Bidder/Offeror has satisfied the requirements of the solicitation in the following manner (please check the appropriate space):</w:t>
      </w:r>
    </w:p>
    <w:p w14:paraId="00E8FAD0" w14:textId="77777777" w:rsidR="00FB0AB6" w:rsidRPr="003B27CD" w:rsidRDefault="00FB0AB6" w:rsidP="00FB0AB6">
      <w:pPr>
        <w:ind w:left="1440" w:hanging="1440"/>
        <w:rPr>
          <w:rFonts w:cstheme="minorHAnsi"/>
        </w:rPr>
      </w:pPr>
      <w:r w:rsidRPr="003B27CD">
        <w:rPr>
          <w:rFonts w:cstheme="minorHAnsi"/>
        </w:rPr>
        <w:t>_____</w:t>
      </w:r>
      <w:r w:rsidRPr="003B27CD">
        <w:rPr>
          <w:rFonts w:cstheme="minorHAnsi"/>
        </w:rPr>
        <w:tab/>
        <w:t xml:space="preserve"> The Bidder/Offer is committed to a minimum of ________% DBE utilization on this contract.</w:t>
      </w:r>
    </w:p>
    <w:p w14:paraId="04EAAFBB" w14:textId="77777777" w:rsidR="00FB0AB6" w:rsidRPr="003B27CD" w:rsidRDefault="00FB0AB6" w:rsidP="00FB0AB6">
      <w:pPr>
        <w:rPr>
          <w:rFonts w:cstheme="minorHAnsi"/>
        </w:rPr>
      </w:pPr>
    </w:p>
    <w:p w14:paraId="3A645092" w14:textId="77777777" w:rsidR="00FB0AB6" w:rsidRPr="003B27CD" w:rsidRDefault="00FB0AB6" w:rsidP="00FB0AB6">
      <w:pPr>
        <w:ind w:left="1440" w:hanging="1440"/>
        <w:rPr>
          <w:rFonts w:cstheme="minorHAnsi"/>
        </w:rPr>
      </w:pPr>
      <w:r w:rsidRPr="003B27CD">
        <w:rPr>
          <w:rFonts w:cstheme="minorHAnsi"/>
        </w:rPr>
        <w:t>_____</w:t>
      </w:r>
      <w:r w:rsidRPr="003B27CD">
        <w:rPr>
          <w:rFonts w:cstheme="minorHAnsi"/>
        </w:rPr>
        <w:tab/>
        <w:t xml:space="preserve"> The Bidder/Offeror (if unable to meet the DBE goal of 3.75%) is committed to a minimum of ________% DBE utilization on this contract and submits documentation demonstrating good faith efforts.</w:t>
      </w:r>
    </w:p>
    <w:p w14:paraId="3573BE23" w14:textId="77777777" w:rsidR="00FB0AB6" w:rsidRPr="003B27CD" w:rsidRDefault="00FB0AB6" w:rsidP="00FB0AB6">
      <w:pPr>
        <w:ind w:left="1440" w:hanging="1440"/>
        <w:jc w:val="center"/>
        <w:rPr>
          <w:rFonts w:cstheme="minorHAnsi"/>
          <w:b/>
        </w:rPr>
      </w:pPr>
      <w:r w:rsidRPr="003B27CD">
        <w:rPr>
          <w:rFonts w:cstheme="minorHAnsi"/>
          <w:b/>
        </w:rPr>
        <w:t>DBE PARTICIPATION SCHEDULE</w:t>
      </w:r>
    </w:p>
    <w:p w14:paraId="34521364" w14:textId="77777777" w:rsidR="00FB0AB6" w:rsidRPr="003B27CD" w:rsidRDefault="00FB0AB6" w:rsidP="00FB0AB6">
      <w:pPr>
        <w:pStyle w:val="NoSpacing"/>
        <w:rPr>
          <w:rFonts w:cstheme="minorHAnsi"/>
        </w:rPr>
      </w:pPr>
      <w:r w:rsidRPr="003B27CD">
        <w:rPr>
          <w:rFonts w:cstheme="minorHAnsi"/>
        </w:rPr>
        <w:t xml:space="preserve">The Bidder/Offeror shall complete the following information for all DBE’s participating in the </w:t>
      </w:r>
      <w:proofErr w:type="gramStart"/>
      <w:r w:rsidRPr="003B27CD">
        <w:rPr>
          <w:rFonts w:cstheme="minorHAnsi"/>
        </w:rPr>
        <w:t>contract</w:t>
      </w:r>
      <w:proofErr w:type="gramEnd"/>
      <w:r w:rsidRPr="003B27CD">
        <w:rPr>
          <w:rFonts w:cstheme="minorHAnsi"/>
        </w:rPr>
        <w:t xml:space="preserve"> </w:t>
      </w:r>
    </w:p>
    <w:p w14:paraId="4BBEB287" w14:textId="77777777" w:rsidR="00FB0AB6" w:rsidRPr="003B27CD" w:rsidRDefault="00FB0AB6" w:rsidP="00FB0AB6">
      <w:pPr>
        <w:pStyle w:val="NoSpacing"/>
        <w:rPr>
          <w:rFonts w:cstheme="minorHAnsi"/>
        </w:rPr>
      </w:pPr>
      <w:r w:rsidRPr="003B27CD">
        <w:rPr>
          <w:rFonts w:cstheme="minorHAnsi"/>
        </w:rPr>
        <w:t>That comprises the DBE Utilization percent stated in the DEB Utilization Form.  The Bidder/Offeror shall also furnish the name and telephone number of the appropriate contact person should the Authority have any questions in relation to the information furnished herein.</w:t>
      </w:r>
    </w:p>
    <w:p w14:paraId="6DD3BEA8" w14:textId="77777777" w:rsidR="00FB0AB6" w:rsidRPr="003B27CD" w:rsidRDefault="00FB0AB6" w:rsidP="00FB0AB6">
      <w:pPr>
        <w:pStyle w:val="NoSpacing"/>
        <w:rPr>
          <w:rFonts w:cstheme="minorHAnsi"/>
        </w:rPr>
      </w:pPr>
    </w:p>
    <w:p w14:paraId="6F461629" w14:textId="77777777" w:rsidR="00FB0AB6" w:rsidRPr="003B27CD" w:rsidRDefault="00FB0AB6" w:rsidP="00FB0AB6">
      <w:pPr>
        <w:pStyle w:val="NoSpacing"/>
        <w:rPr>
          <w:rFonts w:cstheme="minorHAnsi"/>
        </w:rPr>
      </w:pPr>
    </w:p>
    <w:p w14:paraId="6ECD08B8" w14:textId="77777777" w:rsidR="00FB0AB6" w:rsidRPr="003B27CD" w:rsidRDefault="00FB0AB6" w:rsidP="00FB0AB6">
      <w:pPr>
        <w:pStyle w:val="NoSpacing"/>
        <w:rPr>
          <w:rFonts w:cstheme="minorHAnsi"/>
        </w:rPr>
      </w:pPr>
    </w:p>
    <w:p w14:paraId="4AD4755A" w14:textId="77777777" w:rsidR="00FB0AB6" w:rsidRPr="003B27CD" w:rsidRDefault="00FB0AB6" w:rsidP="00FB0AB6">
      <w:pPr>
        <w:pStyle w:val="NoSpacing"/>
        <w:rPr>
          <w:rFonts w:cstheme="minorHAnsi"/>
        </w:rPr>
      </w:pPr>
    </w:p>
    <w:p w14:paraId="53A6D6EF" w14:textId="77777777" w:rsidR="00FB0AB6" w:rsidRPr="003B27CD" w:rsidRDefault="00FB0AB6" w:rsidP="00FB0AB6">
      <w:pPr>
        <w:pStyle w:val="NoSpacing"/>
        <w:rPr>
          <w:rFonts w:cstheme="minorHAnsi"/>
          <w:b/>
        </w:rPr>
      </w:pPr>
      <w:r w:rsidRPr="003B27CD">
        <w:rPr>
          <w:rFonts w:cstheme="minorHAnsi"/>
          <w:b/>
        </w:rPr>
        <w:t>DBE IDENTIFICATION AND INFORMATION FORM</w:t>
      </w:r>
    </w:p>
    <w:tbl>
      <w:tblPr>
        <w:tblStyle w:val="TableGrid"/>
        <w:tblW w:w="0" w:type="auto"/>
        <w:tblLook w:val="04A0" w:firstRow="1" w:lastRow="0" w:firstColumn="1" w:lastColumn="0" w:noHBand="0" w:noVBand="1"/>
      </w:tblPr>
      <w:tblGrid>
        <w:gridCol w:w="1860"/>
        <w:gridCol w:w="1872"/>
        <w:gridCol w:w="1884"/>
        <w:gridCol w:w="1877"/>
        <w:gridCol w:w="1857"/>
      </w:tblGrid>
      <w:tr w:rsidR="00FB0AB6" w:rsidRPr="003B27CD" w14:paraId="33C46364" w14:textId="77777777" w:rsidTr="00E64F90">
        <w:tc>
          <w:tcPr>
            <w:tcW w:w="1915" w:type="dxa"/>
          </w:tcPr>
          <w:p w14:paraId="4290757A" w14:textId="77777777" w:rsidR="00FB0AB6" w:rsidRPr="003B27CD" w:rsidRDefault="00FB0AB6" w:rsidP="00E64F90">
            <w:pPr>
              <w:pStyle w:val="NoSpacing"/>
              <w:rPr>
                <w:rFonts w:cstheme="minorHAnsi"/>
                <w:b/>
              </w:rPr>
            </w:pPr>
            <w:r w:rsidRPr="003B27CD">
              <w:rPr>
                <w:rFonts w:cstheme="minorHAnsi"/>
                <w:b/>
              </w:rPr>
              <w:t>Name and Address</w:t>
            </w:r>
          </w:p>
        </w:tc>
        <w:tc>
          <w:tcPr>
            <w:tcW w:w="1915" w:type="dxa"/>
          </w:tcPr>
          <w:p w14:paraId="3AF79D51" w14:textId="77777777" w:rsidR="00FB0AB6" w:rsidRPr="003B27CD" w:rsidRDefault="00FB0AB6" w:rsidP="00E64F90">
            <w:pPr>
              <w:pStyle w:val="NoSpacing"/>
              <w:rPr>
                <w:rFonts w:cstheme="minorHAnsi"/>
                <w:b/>
              </w:rPr>
            </w:pPr>
            <w:r w:rsidRPr="003B27CD">
              <w:rPr>
                <w:rFonts w:cstheme="minorHAnsi"/>
                <w:b/>
              </w:rPr>
              <w:t>Contact Name and Telephone Number</w:t>
            </w:r>
          </w:p>
        </w:tc>
        <w:tc>
          <w:tcPr>
            <w:tcW w:w="1915" w:type="dxa"/>
          </w:tcPr>
          <w:p w14:paraId="485AF7A7" w14:textId="77777777" w:rsidR="00FB0AB6" w:rsidRPr="003B27CD" w:rsidRDefault="00FB0AB6" w:rsidP="00E64F90">
            <w:pPr>
              <w:pStyle w:val="NoSpacing"/>
              <w:rPr>
                <w:rFonts w:cstheme="minorHAnsi"/>
                <w:b/>
              </w:rPr>
            </w:pPr>
            <w:r w:rsidRPr="003B27CD">
              <w:rPr>
                <w:rFonts w:cstheme="minorHAnsi"/>
                <w:b/>
              </w:rPr>
              <w:t>Participation Percent (Of Total Contract Value)</w:t>
            </w:r>
          </w:p>
        </w:tc>
        <w:tc>
          <w:tcPr>
            <w:tcW w:w="1915" w:type="dxa"/>
          </w:tcPr>
          <w:p w14:paraId="64DBA997" w14:textId="77777777" w:rsidR="00FB0AB6" w:rsidRPr="003B27CD" w:rsidRDefault="00FB0AB6" w:rsidP="00E64F90">
            <w:pPr>
              <w:pStyle w:val="NoSpacing"/>
              <w:rPr>
                <w:rFonts w:cstheme="minorHAnsi"/>
                <w:b/>
              </w:rPr>
            </w:pPr>
            <w:r w:rsidRPr="003B27CD">
              <w:rPr>
                <w:rFonts w:cstheme="minorHAnsi"/>
                <w:b/>
              </w:rPr>
              <w:t xml:space="preserve">Description of Work </w:t>
            </w:r>
            <w:proofErr w:type="gramStart"/>
            <w:r w:rsidRPr="003B27CD">
              <w:rPr>
                <w:rFonts w:cstheme="minorHAnsi"/>
                <w:b/>
              </w:rPr>
              <w:t>To</w:t>
            </w:r>
            <w:proofErr w:type="gramEnd"/>
            <w:r w:rsidRPr="003B27CD">
              <w:rPr>
                <w:rFonts w:cstheme="minorHAnsi"/>
                <w:b/>
              </w:rPr>
              <w:t xml:space="preserve"> Be Performed</w:t>
            </w:r>
          </w:p>
        </w:tc>
        <w:tc>
          <w:tcPr>
            <w:tcW w:w="1916" w:type="dxa"/>
          </w:tcPr>
          <w:p w14:paraId="5A060395" w14:textId="77777777" w:rsidR="00FB0AB6" w:rsidRPr="003B27CD" w:rsidRDefault="00FB0AB6" w:rsidP="00E64F90">
            <w:pPr>
              <w:pStyle w:val="NoSpacing"/>
              <w:rPr>
                <w:rFonts w:cstheme="minorHAnsi"/>
                <w:b/>
              </w:rPr>
            </w:pPr>
            <w:r w:rsidRPr="003B27CD">
              <w:rPr>
                <w:rFonts w:cstheme="minorHAnsi"/>
                <w:b/>
              </w:rPr>
              <w:t>Race and Gender of Firm</w:t>
            </w:r>
          </w:p>
        </w:tc>
      </w:tr>
      <w:tr w:rsidR="00FB0AB6" w:rsidRPr="003B27CD" w14:paraId="692E9C87" w14:textId="77777777" w:rsidTr="00E64F90">
        <w:tc>
          <w:tcPr>
            <w:tcW w:w="1915" w:type="dxa"/>
          </w:tcPr>
          <w:p w14:paraId="1025BB43" w14:textId="77777777" w:rsidR="00FB0AB6" w:rsidRPr="003B27CD" w:rsidRDefault="00FB0AB6" w:rsidP="00E64F90">
            <w:pPr>
              <w:pStyle w:val="NoSpacing"/>
              <w:rPr>
                <w:rFonts w:cstheme="minorHAnsi"/>
                <w:b/>
              </w:rPr>
            </w:pPr>
          </w:p>
          <w:p w14:paraId="128DBB34" w14:textId="77777777" w:rsidR="00FB0AB6" w:rsidRPr="003B27CD" w:rsidRDefault="00FB0AB6" w:rsidP="00E64F90">
            <w:pPr>
              <w:pStyle w:val="NoSpacing"/>
              <w:rPr>
                <w:rFonts w:cstheme="minorHAnsi"/>
                <w:b/>
              </w:rPr>
            </w:pPr>
          </w:p>
        </w:tc>
        <w:tc>
          <w:tcPr>
            <w:tcW w:w="1915" w:type="dxa"/>
          </w:tcPr>
          <w:p w14:paraId="625386C4" w14:textId="77777777" w:rsidR="00FB0AB6" w:rsidRPr="003B27CD" w:rsidRDefault="00FB0AB6" w:rsidP="00E64F90">
            <w:pPr>
              <w:pStyle w:val="NoSpacing"/>
              <w:rPr>
                <w:rFonts w:cstheme="minorHAnsi"/>
                <w:b/>
              </w:rPr>
            </w:pPr>
          </w:p>
        </w:tc>
        <w:tc>
          <w:tcPr>
            <w:tcW w:w="1915" w:type="dxa"/>
          </w:tcPr>
          <w:p w14:paraId="3965F4FB" w14:textId="77777777" w:rsidR="00FB0AB6" w:rsidRPr="003B27CD" w:rsidRDefault="00FB0AB6" w:rsidP="00E64F90">
            <w:pPr>
              <w:pStyle w:val="NoSpacing"/>
              <w:rPr>
                <w:rFonts w:cstheme="minorHAnsi"/>
                <w:b/>
              </w:rPr>
            </w:pPr>
          </w:p>
        </w:tc>
        <w:tc>
          <w:tcPr>
            <w:tcW w:w="1915" w:type="dxa"/>
          </w:tcPr>
          <w:p w14:paraId="17740A9E" w14:textId="77777777" w:rsidR="00FB0AB6" w:rsidRPr="003B27CD" w:rsidRDefault="00FB0AB6" w:rsidP="00E64F90">
            <w:pPr>
              <w:pStyle w:val="NoSpacing"/>
              <w:rPr>
                <w:rFonts w:cstheme="minorHAnsi"/>
                <w:b/>
              </w:rPr>
            </w:pPr>
          </w:p>
        </w:tc>
        <w:tc>
          <w:tcPr>
            <w:tcW w:w="1916" w:type="dxa"/>
          </w:tcPr>
          <w:p w14:paraId="59C8032C" w14:textId="77777777" w:rsidR="00FB0AB6" w:rsidRPr="003B27CD" w:rsidRDefault="00FB0AB6" w:rsidP="00E64F90">
            <w:pPr>
              <w:pStyle w:val="NoSpacing"/>
              <w:rPr>
                <w:rFonts w:cstheme="minorHAnsi"/>
                <w:b/>
              </w:rPr>
            </w:pPr>
          </w:p>
        </w:tc>
      </w:tr>
      <w:tr w:rsidR="00FB0AB6" w:rsidRPr="003B27CD" w14:paraId="28952A7E" w14:textId="77777777" w:rsidTr="00E64F90">
        <w:tc>
          <w:tcPr>
            <w:tcW w:w="1915" w:type="dxa"/>
          </w:tcPr>
          <w:p w14:paraId="3C37D650" w14:textId="77777777" w:rsidR="00FB0AB6" w:rsidRPr="003B27CD" w:rsidRDefault="00FB0AB6" w:rsidP="00E64F90">
            <w:pPr>
              <w:pStyle w:val="NoSpacing"/>
              <w:rPr>
                <w:rFonts w:cstheme="minorHAnsi"/>
                <w:b/>
              </w:rPr>
            </w:pPr>
          </w:p>
          <w:p w14:paraId="45258AC9" w14:textId="77777777" w:rsidR="00FB0AB6" w:rsidRPr="003B27CD" w:rsidRDefault="00FB0AB6" w:rsidP="00E64F90">
            <w:pPr>
              <w:pStyle w:val="NoSpacing"/>
              <w:rPr>
                <w:rFonts w:cstheme="minorHAnsi"/>
                <w:b/>
              </w:rPr>
            </w:pPr>
          </w:p>
        </w:tc>
        <w:tc>
          <w:tcPr>
            <w:tcW w:w="1915" w:type="dxa"/>
          </w:tcPr>
          <w:p w14:paraId="4C4A250C" w14:textId="77777777" w:rsidR="00FB0AB6" w:rsidRPr="003B27CD" w:rsidRDefault="00FB0AB6" w:rsidP="00E64F90">
            <w:pPr>
              <w:pStyle w:val="NoSpacing"/>
              <w:rPr>
                <w:rFonts w:cstheme="minorHAnsi"/>
                <w:b/>
              </w:rPr>
            </w:pPr>
          </w:p>
        </w:tc>
        <w:tc>
          <w:tcPr>
            <w:tcW w:w="1915" w:type="dxa"/>
          </w:tcPr>
          <w:p w14:paraId="537C2A01" w14:textId="77777777" w:rsidR="00FB0AB6" w:rsidRPr="003B27CD" w:rsidRDefault="00FB0AB6" w:rsidP="00E64F90">
            <w:pPr>
              <w:pStyle w:val="NoSpacing"/>
              <w:rPr>
                <w:rFonts w:cstheme="minorHAnsi"/>
                <w:b/>
              </w:rPr>
            </w:pPr>
          </w:p>
        </w:tc>
        <w:tc>
          <w:tcPr>
            <w:tcW w:w="1915" w:type="dxa"/>
          </w:tcPr>
          <w:p w14:paraId="5D6450BD" w14:textId="77777777" w:rsidR="00FB0AB6" w:rsidRPr="003B27CD" w:rsidRDefault="00FB0AB6" w:rsidP="00E64F90">
            <w:pPr>
              <w:pStyle w:val="NoSpacing"/>
              <w:rPr>
                <w:rFonts w:cstheme="minorHAnsi"/>
                <w:b/>
              </w:rPr>
            </w:pPr>
          </w:p>
        </w:tc>
        <w:tc>
          <w:tcPr>
            <w:tcW w:w="1916" w:type="dxa"/>
          </w:tcPr>
          <w:p w14:paraId="6C7A3D79" w14:textId="77777777" w:rsidR="00FB0AB6" w:rsidRPr="003B27CD" w:rsidRDefault="00FB0AB6" w:rsidP="00E64F90">
            <w:pPr>
              <w:pStyle w:val="NoSpacing"/>
              <w:rPr>
                <w:rFonts w:cstheme="minorHAnsi"/>
                <w:b/>
              </w:rPr>
            </w:pPr>
          </w:p>
        </w:tc>
      </w:tr>
      <w:tr w:rsidR="00FB0AB6" w:rsidRPr="003B27CD" w14:paraId="0917A549" w14:textId="77777777" w:rsidTr="00E64F90">
        <w:tc>
          <w:tcPr>
            <w:tcW w:w="1915" w:type="dxa"/>
          </w:tcPr>
          <w:p w14:paraId="7D8BEE06" w14:textId="77777777" w:rsidR="00FB0AB6" w:rsidRPr="003B27CD" w:rsidRDefault="00FB0AB6" w:rsidP="00E64F90">
            <w:pPr>
              <w:pStyle w:val="NoSpacing"/>
              <w:rPr>
                <w:rFonts w:cstheme="minorHAnsi"/>
                <w:b/>
              </w:rPr>
            </w:pPr>
          </w:p>
          <w:p w14:paraId="7C375C9A" w14:textId="77777777" w:rsidR="00FB0AB6" w:rsidRPr="003B27CD" w:rsidRDefault="00FB0AB6" w:rsidP="00E64F90">
            <w:pPr>
              <w:pStyle w:val="NoSpacing"/>
              <w:rPr>
                <w:rFonts w:cstheme="minorHAnsi"/>
                <w:b/>
              </w:rPr>
            </w:pPr>
          </w:p>
        </w:tc>
        <w:tc>
          <w:tcPr>
            <w:tcW w:w="1915" w:type="dxa"/>
          </w:tcPr>
          <w:p w14:paraId="72E88D08" w14:textId="77777777" w:rsidR="00FB0AB6" w:rsidRPr="003B27CD" w:rsidRDefault="00FB0AB6" w:rsidP="00E64F90">
            <w:pPr>
              <w:pStyle w:val="NoSpacing"/>
              <w:rPr>
                <w:rFonts w:cstheme="minorHAnsi"/>
                <w:b/>
              </w:rPr>
            </w:pPr>
          </w:p>
        </w:tc>
        <w:tc>
          <w:tcPr>
            <w:tcW w:w="1915" w:type="dxa"/>
          </w:tcPr>
          <w:p w14:paraId="5E776D4E" w14:textId="77777777" w:rsidR="00FB0AB6" w:rsidRPr="003B27CD" w:rsidRDefault="00FB0AB6" w:rsidP="00E64F90">
            <w:pPr>
              <w:pStyle w:val="NoSpacing"/>
              <w:rPr>
                <w:rFonts w:cstheme="minorHAnsi"/>
                <w:b/>
              </w:rPr>
            </w:pPr>
          </w:p>
        </w:tc>
        <w:tc>
          <w:tcPr>
            <w:tcW w:w="1915" w:type="dxa"/>
          </w:tcPr>
          <w:p w14:paraId="26A93DDA" w14:textId="77777777" w:rsidR="00FB0AB6" w:rsidRPr="003B27CD" w:rsidRDefault="00FB0AB6" w:rsidP="00E64F90">
            <w:pPr>
              <w:pStyle w:val="NoSpacing"/>
              <w:rPr>
                <w:rFonts w:cstheme="minorHAnsi"/>
                <w:b/>
              </w:rPr>
            </w:pPr>
          </w:p>
        </w:tc>
        <w:tc>
          <w:tcPr>
            <w:tcW w:w="1916" w:type="dxa"/>
          </w:tcPr>
          <w:p w14:paraId="45B698FB" w14:textId="77777777" w:rsidR="00FB0AB6" w:rsidRPr="003B27CD" w:rsidRDefault="00FB0AB6" w:rsidP="00E64F90">
            <w:pPr>
              <w:pStyle w:val="NoSpacing"/>
              <w:rPr>
                <w:rFonts w:cstheme="minorHAnsi"/>
                <w:b/>
              </w:rPr>
            </w:pPr>
          </w:p>
        </w:tc>
      </w:tr>
      <w:tr w:rsidR="00FB0AB6" w:rsidRPr="003B27CD" w14:paraId="498F6A43" w14:textId="77777777" w:rsidTr="00E64F90">
        <w:tc>
          <w:tcPr>
            <w:tcW w:w="1915" w:type="dxa"/>
          </w:tcPr>
          <w:p w14:paraId="6B2C9BA9" w14:textId="77777777" w:rsidR="00FB0AB6" w:rsidRPr="003B27CD" w:rsidRDefault="00FB0AB6" w:rsidP="00E64F90">
            <w:pPr>
              <w:pStyle w:val="NoSpacing"/>
              <w:rPr>
                <w:rFonts w:cstheme="minorHAnsi"/>
                <w:b/>
              </w:rPr>
            </w:pPr>
          </w:p>
          <w:p w14:paraId="295CA0CD" w14:textId="77777777" w:rsidR="00FB0AB6" w:rsidRPr="003B27CD" w:rsidRDefault="00FB0AB6" w:rsidP="00E64F90">
            <w:pPr>
              <w:pStyle w:val="NoSpacing"/>
              <w:rPr>
                <w:rFonts w:cstheme="minorHAnsi"/>
                <w:b/>
              </w:rPr>
            </w:pPr>
          </w:p>
        </w:tc>
        <w:tc>
          <w:tcPr>
            <w:tcW w:w="1915" w:type="dxa"/>
          </w:tcPr>
          <w:p w14:paraId="61919C6E" w14:textId="77777777" w:rsidR="00FB0AB6" w:rsidRPr="003B27CD" w:rsidRDefault="00FB0AB6" w:rsidP="00E64F90">
            <w:pPr>
              <w:pStyle w:val="NoSpacing"/>
              <w:rPr>
                <w:rFonts w:cstheme="minorHAnsi"/>
                <w:b/>
              </w:rPr>
            </w:pPr>
          </w:p>
        </w:tc>
        <w:tc>
          <w:tcPr>
            <w:tcW w:w="1915" w:type="dxa"/>
          </w:tcPr>
          <w:p w14:paraId="2A2B1E80" w14:textId="77777777" w:rsidR="00FB0AB6" w:rsidRPr="003B27CD" w:rsidRDefault="00FB0AB6" w:rsidP="00E64F90">
            <w:pPr>
              <w:pStyle w:val="NoSpacing"/>
              <w:rPr>
                <w:rFonts w:cstheme="minorHAnsi"/>
                <w:b/>
              </w:rPr>
            </w:pPr>
          </w:p>
        </w:tc>
        <w:tc>
          <w:tcPr>
            <w:tcW w:w="1915" w:type="dxa"/>
          </w:tcPr>
          <w:p w14:paraId="533DD59D" w14:textId="77777777" w:rsidR="00FB0AB6" w:rsidRPr="003B27CD" w:rsidRDefault="00FB0AB6" w:rsidP="00E64F90">
            <w:pPr>
              <w:pStyle w:val="NoSpacing"/>
              <w:rPr>
                <w:rFonts w:cstheme="minorHAnsi"/>
                <w:b/>
              </w:rPr>
            </w:pPr>
          </w:p>
        </w:tc>
        <w:tc>
          <w:tcPr>
            <w:tcW w:w="1916" w:type="dxa"/>
          </w:tcPr>
          <w:p w14:paraId="0638BBF5" w14:textId="77777777" w:rsidR="00FB0AB6" w:rsidRPr="003B27CD" w:rsidRDefault="00FB0AB6" w:rsidP="00E64F90">
            <w:pPr>
              <w:pStyle w:val="NoSpacing"/>
              <w:rPr>
                <w:rFonts w:cstheme="minorHAnsi"/>
                <w:b/>
              </w:rPr>
            </w:pPr>
          </w:p>
        </w:tc>
      </w:tr>
    </w:tbl>
    <w:p w14:paraId="1DEC7864" w14:textId="3BBF88D1" w:rsidR="00871AF0" w:rsidRDefault="00871AF0" w:rsidP="00FB0AB6">
      <w:pPr>
        <w:pStyle w:val="NoSpacing"/>
        <w:rPr>
          <w:rFonts w:cstheme="minorHAnsi"/>
          <w:b/>
        </w:rPr>
      </w:pPr>
    </w:p>
    <w:p w14:paraId="3DF09856" w14:textId="77777777" w:rsidR="00871AF0" w:rsidRDefault="00871AF0">
      <w:pPr>
        <w:rPr>
          <w:rFonts w:cstheme="minorHAnsi"/>
          <w:b/>
        </w:rPr>
      </w:pPr>
      <w:r>
        <w:rPr>
          <w:rFonts w:cstheme="minorHAnsi"/>
          <w:b/>
        </w:rPr>
        <w:br w:type="page"/>
      </w:r>
    </w:p>
    <w:p w14:paraId="22DCAAEC" w14:textId="77777777" w:rsidR="00FB0AB6" w:rsidRPr="003B27CD" w:rsidRDefault="00FB0AB6" w:rsidP="00FB0AB6">
      <w:pPr>
        <w:pStyle w:val="NoSpacing"/>
        <w:rPr>
          <w:rFonts w:cstheme="minorHAnsi"/>
          <w:b/>
        </w:rPr>
      </w:pPr>
      <w:r w:rsidRPr="003B27CD">
        <w:rPr>
          <w:rFonts w:cstheme="minorHAnsi"/>
          <w:b/>
        </w:rPr>
        <w:lastRenderedPageBreak/>
        <w:t>ENERGY CONSERVATION</w:t>
      </w:r>
    </w:p>
    <w:p w14:paraId="0695D7DC" w14:textId="77777777" w:rsidR="00FB0AB6" w:rsidRPr="003B27CD" w:rsidRDefault="00FB0AB6" w:rsidP="00FB0AB6">
      <w:pPr>
        <w:pStyle w:val="NoSpacing"/>
        <w:rPr>
          <w:rFonts w:cstheme="minorHAnsi"/>
        </w:rPr>
      </w:pPr>
      <w:r w:rsidRPr="003B27CD">
        <w:rPr>
          <w:rFonts w:cstheme="minorHAnsi"/>
        </w:rPr>
        <w:t>42 U.S.C. 6321 et seq. 49 C.F.R. part 622, subpart C</w:t>
      </w:r>
    </w:p>
    <w:p w14:paraId="3D86C845" w14:textId="77777777" w:rsidR="00FB0AB6" w:rsidRPr="003B27CD" w:rsidRDefault="00FB0AB6" w:rsidP="00FB0AB6">
      <w:pPr>
        <w:pStyle w:val="NoSpacing"/>
        <w:rPr>
          <w:rFonts w:cstheme="minorHAnsi"/>
        </w:rPr>
      </w:pPr>
    </w:p>
    <w:p w14:paraId="76BDE57E" w14:textId="77777777" w:rsidR="00FB0AB6" w:rsidRPr="003B27CD" w:rsidRDefault="00FB0AB6" w:rsidP="00FB0AB6">
      <w:pPr>
        <w:pStyle w:val="NoSpacing"/>
        <w:rPr>
          <w:rFonts w:cstheme="minorHAnsi"/>
        </w:rPr>
      </w:pPr>
      <w:r w:rsidRPr="003B27CD">
        <w:rPr>
          <w:rFonts w:cstheme="minorHAnsi"/>
        </w:rPr>
        <w:t>The contractor agrees to comply with mandatory standards and policies relating to energy efficiency, which are contained in the state energy conservation plan issued in compliance with the Energy Policy and Conservation Act.</w:t>
      </w:r>
    </w:p>
    <w:p w14:paraId="6E19F839" w14:textId="77777777" w:rsidR="00FB0AB6" w:rsidRPr="003B27CD" w:rsidRDefault="00FB0AB6" w:rsidP="00FB0AB6">
      <w:pPr>
        <w:pStyle w:val="NoSpacing"/>
        <w:rPr>
          <w:rFonts w:cstheme="minorHAnsi"/>
        </w:rPr>
      </w:pPr>
    </w:p>
    <w:p w14:paraId="7554A0CF" w14:textId="77777777" w:rsidR="00FB0AB6" w:rsidRPr="003B27CD" w:rsidRDefault="00FB0AB6" w:rsidP="00FB0AB6">
      <w:pPr>
        <w:pStyle w:val="NoSpacing"/>
        <w:rPr>
          <w:rFonts w:cstheme="minorHAnsi"/>
          <w:b/>
        </w:rPr>
      </w:pPr>
    </w:p>
    <w:p w14:paraId="4AAA1A03" w14:textId="77777777" w:rsidR="00FB0AB6" w:rsidRPr="003B27CD" w:rsidRDefault="00FB0AB6" w:rsidP="00FB0AB6">
      <w:pPr>
        <w:pStyle w:val="NoSpacing"/>
        <w:rPr>
          <w:rFonts w:cstheme="minorHAnsi"/>
          <w:b/>
        </w:rPr>
      </w:pPr>
      <w:r w:rsidRPr="003B27CD">
        <w:rPr>
          <w:rFonts w:cstheme="minorHAnsi"/>
          <w:b/>
        </w:rPr>
        <w:t>GOVERNMENT-WIDE DEBARMENT AND SUSPENSION</w:t>
      </w:r>
    </w:p>
    <w:p w14:paraId="7AB4C5D2" w14:textId="77777777" w:rsidR="00FB0AB6" w:rsidRPr="003B27CD" w:rsidRDefault="00FB0AB6" w:rsidP="00FB0AB6">
      <w:pPr>
        <w:pStyle w:val="NoSpacing"/>
        <w:rPr>
          <w:rFonts w:cstheme="minorHAnsi"/>
        </w:rPr>
      </w:pPr>
      <w:r w:rsidRPr="003B27CD">
        <w:rPr>
          <w:rFonts w:cstheme="minorHAnsi"/>
        </w:rPr>
        <w:t xml:space="preserve">2 C.F.R. part 180 2 C.F.R part 1200 2 C.F.R. § 200.213 2 C.F.R. part 200 Appendix II (I) Executive </w:t>
      </w:r>
      <w:r w:rsidRPr="003B27CD">
        <w:rPr>
          <w:rFonts w:cstheme="minorHAnsi"/>
        </w:rPr>
        <w:tab/>
      </w:r>
    </w:p>
    <w:p w14:paraId="0415F63D" w14:textId="77777777" w:rsidR="00FB0AB6" w:rsidRPr="003B27CD" w:rsidRDefault="00FB0AB6" w:rsidP="00FB0AB6">
      <w:pPr>
        <w:pStyle w:val="NoSpacing"/>
        <w:rPr>
          <w:rFonts w:cstheme="minorHAnsi"/>
          <w:b/>
        </w:rPr>
      </w:pPr>
    </w:p>
    <w:p w14:paraId="599439D5" w14:textId="77777777" w:rsidR="00FB0AB6" w:rsidRPr="003B27CD" w:rsidRDefault="00FB0AB6" w:rsidP="00FB0AB6">
      <w:pPr>
        <w:pStyle w:val="NoSpacing"/>
        <w:rPr>
          <w:rFonts w:cstheme="minorHAnsi"/>
        </w:rPr>
      </w:pPr>
      <w:r w:rsidRPr="003B27CD">
        <w:rPr>
          <w:rFonts w:cstheme="minorHAnsi"/>
        </w:rPr>
        <w:t>The Contractor shall comply and facilitate compliance with U.S. DOT regulations, “</w:t>
      </w:r>
      <w:proofErr w:type="spellStart"/>
      <w:r w:rsidRPr="003B27CD">
        <w:rPr>
          <w:rFonts w:cstheme="minorHAnsi"/>
        </w:rPr>
        <w:t>Nonprocurement</w:t>
      </w:r>
      <w:proofErr w:type="spellEnd"/>
      <w:r w:rsidRPr="003B27CD">
        <w:rPr>
          <w:rFonts w:cstheme="minorHAnsi"/>
        </w:rPr>
        <w:t xml:space="preserve"> Suspension and Debarment,” 2 C.F.R. part 1200, which adopts and supplements the U.S. Office of Management and Budget (U.S. OMB) “Guidelines to Agencies on Governmentwide Debarment and Suspension (</w:t>
      </w:r>
      <w:proofErr w:type="spellStart"/>
      <w:r w:rsidRPr="003B27CD">
        <w:rPr>
          <w:rFonts w:cstheme="minorHAnsi"/>
        </w:rPr>
        <w:t>Nonprocurement</w:t>
      </w:r>
      <w:proofErr w:type="spellEnd"/>
      <w:r w:rsidRPr="003B27CD">
        <w:rPr>
          <w:rFonts w:cstheme="minorHAnsi"/>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267B78A5" w14:textId="77777777" w:rsidR="00FB0AB6" w:rsidRPr="003B27CD" w:rsidRDefault="00FB0AB6" w:rsidP="00FB0AB6">
      <w:pPr>
        <w:pStyle w:val="NoSpacing"/>
        <w:rPr>
          <w:rFonts w:cstheme="minorHAnsi"/>
        </w:rPr>
      </w:pPr>
    </w:p>
    <w:p w14:paraId="69D02ABB" w14:textId="77777777" w:rsidR="00FB0AB6" w:rsidRPr="003B27CD" w:rsidRDefault="00FB0AB6" w:rsidP="00FB0AB6">
      <w:pPr>
        <w:pStyle w:val="NoSpacing"/>
        <w:numPr>
          <w:ilvl w:val="0"/>
          <w:numId w:val="16"/>
        </w:numPr>
        <w:rPr>
          <w:rFonts w:cstheme="minorHAnsi"/>
        </w:rPr>
      </w:pPr>
      <w:r w:rsidRPr="003B27CD">
        <w:rPr>
          <w:rFonts w:cstheme="minorHAnsi"/>
        </w:rPr>
        <w:t xml:space="preserve">Debarred from participation in any federally assisted </w:t>
      </w:r>
      <w:proofErr w:type="gramStart"/>
      <w:r w:rsidRPr="003B27CD">
        <w:rPr>
          <w:rFonts w:cstheme="minorHAnsi"/>
        </w:rPr>
        <w:t>Award;</w:t>
      </w:r>
      <w:proofErr w:type="gramEnd"/>
      <w:r w:rsidRPr="003B27CD">
        <w:rPr>
          <w:rFonts w:cstheme="minorHAnsi"/>
        </w:rPr>
        <w:t xml:space="preserve"> </w:t>
      </w:r>
    </w:p>
    <w:p w14:paraId="72042B23" w14:textId="77777777" w:rsidR="00FB0AB6" w:rsidRPr="003B27CD" w:rsidRDefault="00FB0AB6" w:rsidP="00FB0AB6">
      <w:pPr>
        <w:pStyle w:val="NoSpacing"/>
        <w:numPr>
          <w:ilvl w:val="0"/>
          <w:numId w:val="16"/>
        </w:numPr>
        <w:rPr>
          <w:rFonts w:cstheme="minorHAnsi"/>
        </w:rPr>
      </w:pPr>
      <w:r w:rsidRPr="003B27CD">
        <w:rPr>
          <w:rFonts w:cstheme="minorHAnsi"/>
        </w:rPr>
        <w:t xml:space="preserve">Suspended from participation in any federally assisted </w:t>
      </w:r>
      <w:proofErr w:type="gramStart"/>
      <w:r w:rsidRPr="003B27CD">
        <w:rPr>
          <w:rFonts w:cstheme="minorHAnsi"/>
        </w:rPr>
        <w:t>Award;</w:t>
      </w:r>
      <w:proofErr w:type="gramEnd"/>
    </w:p>
    <w:p w14:paraId="24F7CA70" w14:textId="77777777" w:rsidR="00FB0AB6" w:rsidRPr="003B27CD" w:rsidRDefault="00FB0AB6" w:rsidP="00FB0AB6">
      <w:pPr>
        <w:pStyle w:val="NoSpacing"/>
        <w:numPr>
          <w:ilvl w:val="0"/>
          <w:numId w:val="16"/>
        </w:numPr>
        <w:rPr>
          <w:rFonts w:cstheme="minorHAnsi"/>
        </w:rPr>
      </w:pPr>
      <w:r w:rsidRPr="003B27CD">
        <w:rPr>
          <w:rFonts w:cstheme="minorHAnsi"/>
        </w:rPr>
        <w:t xml:space="preserve">Proposed for debarment from participation in any federally assisted </w:t>
      </w:r>
      <w:proofErr w:type="gramStart"/>
      <w:r w:rsidRPr="003B27CD">
        <w:rPr>
          <w:rFonts w:cstheme="minorHAnsi"/>
        </w:rPr>
        <w:t>Award;</w:t>
      </w:r>
      <w:proofErr w:type="gramEnd"/>
    </w:p>
    <w:p w14:paraId="511DF3BE" w14:textId="77777777" w:rsidR="00FB0AB6" w:rsidRPr="003B27CD" w:rsidRDefault="00FB0AB6" w:rsidP="00FB0AB6">
      <w:pPr>
        <w:pStyle w:val="NoSpacing"/>
        <w:numPr>
          <w:ilvl w:val="0"/>
          <w:numId w:val="16"/>
        </w:numPr>
        <w:rPr>
          <w:rFonts w:cstheme="minorHAnsi"/>
        </w:rPr>
      </w:pPr>
      <w:r w:rsidRPr="003B27CD">
        <w:rPr>
          <w:rFonts w:cstheme="minorHAnsi"/>
        </w:rPr>
        <w:t xml:space="preserve">Declared ineligible to participate in any federally assisted </w:t>
      </w:r>
      <w:proofErr w:type="gramStart"/>
      <w:r w:rsidRPr="003B27CD">
        <w:rPr>
          <w:rFonts w:cstheme="minorHAnsi"/>
        </w:rPr>
        <w:t>Award;</w:t>
      </w:r>
      <w:proofErr w:type="gramEnd"/>
    </w:p>
    <w:p w14:paraId="051C9DB0" w14:textId="77777777" w:rsidR="00FB0AB6" w:rsidRPr="003B27CD" w:rsidRDefault="00FB0AB6" w:rsidP="00FB0AB6">
      <w:pPr>
        <w:pStyle w:val="NoSpacing"/>
        <w:numPr>
          <w:ilvl w:val="0"/>
          <w:numId w:val="16"/>
        </w:numPr>
        <w:rPr>
          <w:rFonts w:cstheme="minorHAnsi"/>
        </w:rPr>
      </w:pPr>
      <w:r w:rsidRPr="003B27CD">
        <w:rPr>
          <w:rFonts w:cstheme="minorHAnsi"/>
        </w:rPr>
        <w:t xml:space="preserve">Voluntarily excluded from participation in any federally assisted </w:t>
      </w:r>
      <w:proofErr w:type="gramStart"/>
      <w:r w:rsidRPr="003B27CD">
        <w:rPr>
          <w:rFonts w:cstheme="minorHAnsi"/>
        </w:rPr>
        <w:t>Award;  or</w:t>
      </w:r>
      <w:proofErr w:type="gramEnd"/>
      <w:r w:rsidRPr="003B27CD">
        <w:rPr>
          <w:rFonts w:cstheme="minorHAnsi"/>
        </w:rPr>
        <w:t xml:space="preserve"> </w:t>
      </w:r>
    </w:p>
    <w:p w14:paraId="35DA1E5D" w14:textId="77777777" w:rsidR="00FB0AB6" w:rsidRPr="003B27CD" w:rsidRDefault="00FB0AB6" w:rsidP="00FB0AB6">
      <w:pPr>
        <w:pStyle w:val="NoSpacing"/>
        <w:numPr>
          <w:ilvl w:val="0"/>
          <w:numId w:val="16"/>
        </w:numPr>
        <w:rPr>
          <w:rFonts w:cstheme="minorHAnsi"/>
        </w:rPr>
      </w:pPr>
      <w:r w:rsidRPr="003B27CD">
        <w:rPr>
          <w:rFonts w:cstheme="minorHAnsi"/>
        </w:rPr>
        <w:t>Disqualified from participation in ay federally assisted Award.</w:t>
      </w:r>
    </w:p>
    <w:p w14:paraId="0BCB9CD2" w14:textId="77777777" w:rsidR="00FB0AB6" w:rsidRPr="003B27CD" w:rsidRDefault="00FB0AB6" w:rsidP="00FB0AB6">
      <w:pPr>
        <w:pStyle w:val="NoSpacing"/>
        <w:rPr>
          <w:rFonts w:cstheme="minorHAnsi"/>
        </w:rPr>
      </w:pPr>
    </w:p>
    <w:p w14:paraId="1D4BDF43" w14:textId="77777777" w:rsidR="00FB0AB6" w:rsidRPr="003B27CD" w:rsidRDefault="00FB0AB6" w:rsidP="00FB0AB6">
      <w:pPr>
        <w:pStyle w:val="NoSpacing"/>
        <w:ind w:left="360"/>
        <w:rPr>
          <w:rFonts w:cstheme="minorHAnsi"/>
        </w:rPr>
      </w:pPr>
      <w:r w:rsidRPr="003B27CD">
        <w:rPr>
          <w:rFonts w:cstheme="minorHAnsi"/>
        </w:rPr>
        <w:t>By signing and submitting its bid or proposal, the bidder or proposer certifies as follows:</w:t>
      </w:r>
    </w:p>
    <w:p w14:paraId="02C0BEF2" w14:textId="77777777" w:rsidR="00FB0AB6" w:rsidRPr="003B27CD" w:rsidRDefault="00FB0AB6" w:rsidP="00FB0AB6">
      <w:pPr>
        <w:pStyle w:val="NoSpacing"/>
        <w:ind w:left="360"/>
        <w:rPr>
          <w:rFonts w:cstheme="minorHAnsi"/>
        </w:rPr>
      </w:pPr>
    </w:p>
    <w:p w14:paraId="376A06D5" w14:textId="77777777" w:rsidR="00FB0AB6" w:rsidRPr="003B27CD" w:rsidRDefault="00FB0AB6" w:rsidP="00FB0AB6">
      <w:pPr>
        <w:pStyle w:val="NoSpacing"/>
        <w:rPr>
          <w:rFonts w:cstheme="minorHAnsi"/>
        </w:rPr>
      </w:pPr>
      <w:r w:rsidRPr="003B27CD">
        <w:rPr>
          <w:rFonts w:cstheme="minorHAnsi"/>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7994E6B4" w14:textId="77777777" w:rsidR="00FB0AB6" w:rsidRPr="003B27CD" w:rsidRDefault="00FB0AB6" w:rsidP="00FB0AB6">
      <w:pPr>
        <w:pStyle w:val="NoSpacing"/>
        <w:rPr>
          <w:rFonts w:cstheme="minorHAnsi"/>
        </w:rPr>
      </w:pPr>
    </w:p>
    <w:p w14:paraId="6063899D" w14:textId="6884D749" w:rsidR="00871AF0" w:rsidRDefault="00871AF0">
      <w:pPr>
        <w:rPr>
          <w:rFonts w:cstheme="minorHAnsi"/>
        </w:rPr>
      </w:pPr>
      <w:r>
        <w:rPr>
          <w:rFonts w:cstheme="minorHAnsi"/>
        </w:rPr>
        <w:br w:type="page"/>
      </w:r>
    </w:p>
    <w:p w14:paraId="42F02602" w14:textId="77777777" w:rsidR="00FB0AB6" w:rsidRPr="003B27CD" w:rsidRDefault="00FB0AB6" w:rsidP="00FB0AB6">
      <w:pPr>
        <w:jc w:val="center"/>
        <w:rPr>
          <w:rFonts w:ascii="Calibri" w:hAnsi="Calibri"/>
          <w:b/>
          <w:bCs/>
          <w:u w:val="single"/>
        </w:rPr>
      </w:pPr>
      <w:r w:rsidRPr="003B27CD">
        <w:rPr>
          <w:rFonts w:ascii="Calibri" w:hAnsi="Calibri"/>
          <w:b/>
          <w:bCs/>
          <w:u w:val="single"/>
        </w:rPr>
        <w:lastRenderedPageBreak/>
        <w:t>CERTIFICATION OF PRIMARY PARTICIPANT REGARDING DEBARMENT, SUSPENSION, AND OTHER RESPONSIBILITY MATTERS</w:t>
      </w:r>
    </w:p>
    <w:p w14:paraId="11EEEAD4" w14:textId="77777777" w:rsidR="00FB0AB6" w:rsidRPr="003B27CD" w:rsidRDefault="00FB0AB6" w:rsidP="00FB0AB6">
      <w:pPr>
        <w:jc w:val="both"/>
        <w:rPr>
          <w:rFonts w:ascii="Calibri" w:hAnsi="Calibri"/>
        </w:rPr>
      </w:pPr>
      <w:r w:rsidRPr="003B27CD">
        <w:rPr>
          <w:rFonts w:ascii="Calibri" w:hAnsi="Calibri"/>
        </w:rPr>
        <w:t xml:space="preserve">The Primary Participant ____________________________________________________ certifies to the best of its knowledge and belief, that it and its principals: </w:t>
      </w:r>
    </w:p>
    <w:p w14:paraId="15B3812A" w14:textId="77777777" w:rsidR="00FB0AB6" w:rsidRPr="003B27CD" w:rsidRDefault="00FB0AB6" w:rsidP="00FB0AB6">
      <w:pPr>
        <w:jc w:val="both"/>
        <w:rPr>
          <w:rFonts w:ascii="Calibri" w:hAnsi="Calibri"/>
        </w:rPr>
      </w:pPr>
      <w:r w:rsidRPr="003B27CD">
        <w:rPr>
          <w:rFonts w:ascii="Calibri" w:hAnsi="Calibri"/>
        </w:rPr>
        <w:t xml:space="preserve">1. Are not presently debarred, suspended, proposed for debarment, declared ineligible or voluntarily excluded from covered transactions by any Federal department or agency. </w:t>
      </w:r>
    </w:p>
    <w:p w14:paraId="226ED9F0" w14:textId="77777777" w:rsidR="00FB0AB6" w:rsidRPr="003B27CD" w:rsidRDefault="00FB0AB6" w:rsidP="00FB0AB6">
      <w:pPr>
        <w:jc w:val="both"/>
        <w:rPr>
          <w:rFonts w:ascii="Calibri" w:hAnsi="Calibri"/>
        </w:rPr>
      </w:pPr>
      <w:r w:rsidRPr="003B27CD">
        <w:rPr>
          <w:rFonts w:ascii="Calibri" w:hAnsi="Calibri"/>
        </w:rPr>
        <w:t xml:space="preserve">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11AB9013" w14:textId="77777777" w:rsidR="00FB0AB6" w:rsidRPr="003B27CD" w:rsidRDefault="00FB0AB6" w:rsidP="00FB0AB6">
      <w:pPr>
        <w:jc w:val="both"/>
        <w:rPr>
          <w:rFonts w:ascii="Calibri" w:hAnsi="Calibri"/>
        </w:rPr>
      </w:pPr>
      <w:r w:rsidRPr="003B27CD">
        <w:rPr>
          <w:rFonts w:ascii="Calibri" w:hAnsi="Calibri"/>
        </w:rPr>
        <w:t xml:space="preserve">3. Are not presently indicted for or otherwise criminally or civilly charged by a governmental entity (Federal, </w:t>
      </w:r>
      <w:proofErr w:type="gramStart"/>
      <w:r w:rsidRPr="003B27CD">
        <w:rPr>
          <w:rFonts w:ascii="Calibri" w:hAnsi="Calibri"/>
        </w:rPr>
        <w:t>State</w:t>
      </w:r>
      <w:proofErr w:type="gramEnd"/>
      <w:r w:rsidRPr="003B27CD">
        <w:rPr>
          <w:rFonts w:ascii="Calibri" w:hAnsi="Calibri"/>
        </w:rPr>
        <w:t xml:space="preserve"> or local) with commission of any of the offenses enumerated in paragraph (2) of this certification; and </w:t>
      </w:r>
    </w:p>
    <w:p w14:paraId="7DC2F21B" w14:textId="77777777" w:rsidR="00FB0AB6" w:rsidRPr="003B27CD" w:rsidRDefault="00FB0AB6" w:rsidP="00FB0AB6">
      <w:pPr>
        <w:jc w:val="both"/>
        <w:rPr>
          <w:rFonts w:ascii="Calibri" w:hAnsi="Calibri"/>
        </w:rPr>
      </w:pPr>
      <w:r w:rsidRPr="003B27CD">
        <w:rPr>
          <w:rFonts w:ascii="Calibri" w:hAnsi="Calibri"/>
        </w:rPr>
        <w:t xml:space="preserve">4. Have not within three-year period preceding this application/proposal had one or more public transactions (Federal, </w:t>
      </w:r>
      <w:proofErr w:type="gramStart"/>
      <w:r w:rsidRPr="003B27CD">
        <w:rPr>
          <w:rFonts w:ascii="Calibri" w:hAnsi="Calibri"/>
        </w:rPr>
        <w:t>State</w:t>
      </w:r>
      <w:proofErr w:type="gramEnd"/>
      <w:r w:rsidRPr="003B27CD">
        <w:rPr>
          <w:rFonts w:ascii="Calibri" w:hAnsi="Calibri"/>
        </w:rPr>
        <w:t xml:space="preserve"> or local) terminated for cause or default. </w:t>
      </w:r>
    </w:p>
    <w:p w14:paraId="3ACEE168" w14:textId="77777777" w:rsidR="00FB0AB6" w:rsidRPr="003B27CD" w:rsidRDefault="00FB0AB6" w:rsidP="00FB0AB6">
      <w:pPr>
        <w:jc w:val="both"/>
        <w:rPr>
          <w:rFonts w:ascii="Calibri" w:hAnsi="Calibri"/>
        </w:rPr>
      </w:pPr>
      <w:r w:rsidRPr="003B27CD">
        <w:rPr>
          <w:rFonts w:ascii="Calibri" w:hAnsi="Calibri"/>
        </w:rPr>
        <w:t xml:space="preserve">Where the Contractor is unable to certify to any of the statements in this certification, the participant shall attach an explanation to this certification. </w:t>
      </w:r>
    </w:p>
    <w:p w14:paraId="2DAA2654" w14:textId="77777777" w:rsidR="00FB0AB6" w:rsidRPr="003B27CD" w:rsidRDefault="00FB0AB6" w:rsidP="00FB0AB6">
      <w:pPr>
        <w:jc w:val="both"/>
        <w:rPr>
          <w:rFonts w:ascii="Calibri" w:hAnsi="Calibri"/>
        </w:rPr>
      </w:pPr>
      <w:r w:rsidRPr="003B27CD">
        <w:rPr>
          <w:rFonts w:ascii="Calibri" w:hAnsi="Calibri"/>
        </w:rPr>
        <w:t xml:space="preserve">Contractor (name) ________________________________________________ CERTIFIES OR AFFIRMS THE TRUTHFULNESS AND ACCURACY OF THE CONTENTS OF THE STATEMENTS SUBMITTED ON OR WITH THIS CERTIFICATION AND UNDERSTANDS THAT THE PROVISIONS OF 31 U.S.C. SECTIONS 3801 ET. SEQ. ARE APPLICABLE THERETO. </w:t>
      </w:r>
    </w:p>
    <w:p w14:paraId="738D2C4B" w14:textId="77777777" w:rsidR="00FB0AB6" w:rsidRPr="003B27CD" w:rsidRDefault="00FB0AB6" w:rsidP="00FB0AB6">
      <w:pPr>
        <w:jc w:val="both"/>
        <w:rPr>
          <w:rFonts w:ascii="Calibri" w:hAnsi="Calibri"/>
        </w:rPr>
      </w:pPr>
    </w:p>
    <w:p w14:paraId="09E939E7" w14:textId="77777777" w:rsidR="00FB0AB6" w:rsidRPr="003B27CD" w:rsidRDefault="00FB0AB6" w:rsidP="00FB0AB6">
      <w:pPr>
        <w:spacing w:after="0"/>
        <w:jc w:val="both"/>
        <w:rPr>
          <w:rFonts w:ascii="Calibri" w:hAnsi="Calibri"/>
        </w:rPr>
      </w:pPr>
      <w:r w:rsidRPr="003B27CD">
        <w:rPr>
          <w:rFonts w:ascii="Calibri" w:hAnsi="Calibri"/>
        </w:rPr>
        <w:t xml:space="preserve">Dun &amp; Bradstreet </w:t>
      </w:r>
      <w:proofErr w:type="gramStart"/>
      <w:r w:rsidRPr="003B27CD">
        <w:rPr>
          <w:rFonts w:ascii="Calibri" w:hAnsi="Calibri"/>
        </w:rPr>
        <w:t>Number:_</w:t>
      </w:r>
      <w:proofErr w:type="gramEnd"/>
      <w:r w:rsidRPr="003B27CD">
        <w:rPr>
          <w:rFonts w:ascii="Calibri" w:hAnsi="Calibri"/>
        </w:rPr>
        <w:t>_________________________________________________</w:t>
      </w:r>
    </w:p>
    <w:p w14:paraId="535F01BF" w14:textId="77777777" w:rsidR="00FB0AB6" w:rsidRPr="003B27CD" w:rsidRDefault="00FB0AB6" w:rsidP="00FB0AB6">
      <w:pPr>
        <w:spacing w:after="0"/>
        <w:jc w:val="both"/>
        <w:rPr>
          <w:rFonts w:ascii="Calibri" w:hAnsi="Calibri"/>
        </w:rPr>
      </w:pPr>
      <w:r w:rsidRPr="003B27CD">
        <w:rPr>
          <w:rFonts w:ascii="Calibri" w:hAnsi="Calibri"/>
        </w:rPr>
        <w:t>(</w:t>
      </w:r>
      <w:proofErr w:type="gramStart"/>
      <w:r w:rsidRPr="003B27CD">
        <w:rPr>
          <w:rFonts w:ascii="Calibri" w:hAnsi="Calibri"/>
        </w:rPr>
        <w:t>must</w:t>
      </w:r>
      <w:proofErr w:type="gramEnd"/>
      <w:r w:rsidRPr="003B27CD">
        <w:rPr>
          <w:rFonts w:ascii="Calibri" w:hAnsi="Calibri"/>
        </w:rPr>
        <w:t xml:space="preserve"> be an active D&amp;B # registered with the System For Award Management (</w:t>
      </w:r>
      <w:hyperlink r:id="rId12" w:history="1">
        <w:r w:rsidRPr="003B27CD">
          <w:rPr>
            <w:rStyle w:val="Hyperlink"/>
            <w:rFonts w:ascii="Calibri" w:hAnsi="Calibri"/>
          </w:rPr>
          <w:t>www.sam.gov</w:t>
        </w:r>
      </w:hyperlink>
      <w:r w:rsidRPr="003B27CD">
        <w:rPr>
          <w:rFonts w:ascii="Calibri" w:hAnsi="Calibri"/>
        </w:rPr>
        <w:t xml:space="preserve">) </w:t>
      </w:r>
    </w:p>
    <w:p w14:paraId="7ED2EA61" w14:textId="77777777" w:rsidR="00FB0AB6" w:rsidRPr="003B27CD" w:rsidRDefault="00FB0AB6" w:rsidP="00FB0AB6">
      <w:pPr>
        <w:spacing w:after="0"/>
        <w:jc w:val="both"/>
        <w:rPr>
          <w:rFonts w:ascii="Calibri" w:hAnsi="Calibri"/>
        </w:rPr>
      </w:pPr>
    </w:p>
    <w:p w14:paraId="7C767DF3" w14:textId="77777777" w:rsidR="00FB0AB6" w:rsidRPr="003B27CD" w:rsidRDefault="00FB0AB6" w:rsidP="00FB0AB6">
      <w:pPr>
        <w:spacing w:after="0"/>
        <w:rPr>
          <w:rFonts w:ascii="Calibri" w:hAnsi="Calibri"/>
        </w:rPr>
      </w:pPr>
      <w:proofErr w:type="gramStart"/>
      <w:r w:rsidRPr="003B27CD">
        <w:rPr>
          <w:rFonts w:ascii="Calibri" w:hAnsi="Calibri"/>
        </w:rPr>
        <w:t>Date:_</w:t>
      </w:r>
      <w:proofErr w:type="gramEnd"/>
      <w:r w:rsidRPr="003B27CD">
        <w:rPr>
          <w:rFonts w:ascii="Calibri" w:hAnsi="Calibri"/>
        </w:rPr>
        <w:t xml:space="preserve">______________ Authorized Official: __________________________________________ </w:t>
      </w:r>
    </w:p>
    <w:p w14:paraId="68CAD713" w14:textId="77777777" w:rsidR="00FB0AB6" w:rsidRPr="003B27CD" w:rsidRDefault="00FB0AB6" w:rsidP="00FB0AB6">
      <w:pPr>
        <w:spacing w:after="0"/>
        <w:rPr>
          <w:rFonts w:ascii="Calibri" w:hAnsi="Calibri"/>
        </w:rPr>
      </w:pPr>
    </w:p>
    <w:p w14:paraId="48A9E139" w14:textId="77777777" w:rsidR="00FB0AB6" w:rsidRPr="003B27CD" w:rsidRDefault="00FB0AB6" w:rsidP="00FB0AB6">
      <w:pPr>
        <w:spacing w:after="0"/>
        <w:rPr>
          <w:rFonts w:ascii="Calibri" w:hAnsi="Calibri"/>
        </w:rPr>
      </w:pPr>
      <w:proofErr w:type="gramStart"/>
      <w:r w:rsidRPr="003B27CD">
        <w:rPr>
          <w:rFonts w:ascii="Calibri" w:hAnsi="Calibri"/>
        </w:rPr>
        <w:t>Signature:_</w:t>
      </w:r>
      <w:proofErr w:type="gramEnd"/>
      <w:r w:rsidRPr="003B27CD">
        <w:rPr>
          <w:rFonts w:ascii="Calibri" w:hAnsi="Calibri"/>
        </w:rPr>
        <w:t>____________________________________________________________________</w:t>
      </w:r>
    </w:p>
    <w:p w14:paraId="38322212" w14:textId="463EFF7E" w:rsidR="00871AF0" w:rsidRDefault="00871AF0">
      <w:pPr>
        <w:rPr>
          <w:rFonts w:ascii="Calibri" w:hAnsi="Calibri"/>
        </w:rPr>
      </w:pPr>
      <w:r>
        <w:rPr>
          <w:rFonts w:ascii="Calibri" w:hAnsi="Calibri"/>
        </w:rPr>
        <w:br w:type="page"/>
      </w:r>
    </w:p>
    <w:p w14:paraId="66D774C0" w14:textId="77777777" w:rsidR="00FB0AB6" w:rsidRPr="003B27CD" w:rsidRDefault="00FB0AB6" w:rsidP="00FB0AB6">
      <w:pPr>
        <w:pStyle w:val="NoSpacing"/>
        <w:rPr>
          <w:rFonts w:cstheme="minorHAnsi"/>
          <w:b/>
        </w:rPr>
      </w:pPr>
      <w:r w:rsidRPr="003B27CD">
        <w:rPr>
          <w:rFonts w:cstheme="minorHAnsi"/>
          <w:b/>
        </w:rPr>
        <w:lastRenderedPageBreak/>
        <w:t>LOBBYING RESTRICTIONS</w:t>
      </w:r>
    </w:p>
    <w:p w14:paraId="72A6E993" w14:textId="77777777" w:rsidR="00FB0AB6" w:rsidRPr="003B27CD" w:rsidRDefault="00FB0AB6" w:rsidP="00FB0AB6">
      <w:pPr>
        <w:pStyle w:val="NoSpacing"/>
        <w:rPr>
          <w:rFonts w:cstheme="minorHAnsi"/>
        </w:rPr>
      </w:pPr>
      <w:r w:rsidRPr="003B27CD">
        <w:rPr>
          <w:rFonts w:cstheme="minorHAnsi"/>
        </w:rPr>
        <w:t>31 U.S.C. § 1352 2 C.F.R. § 200.450 2 C.F.R. part 200 appendix II (J) 49 C.F.R. part 20</w:t>
      </w:r>
    </w:p>
    <w:p w14:paraId="085BA7F6" w14:textId="77777777" w:rsidR="00FB0AB6" w:rsidRPr="003B27CD" w:rsidRDefault="00FB0AB6" w:rsidP="00FB0AB6">
      <w:pPr>
        <w:pStyle w:val="NoSpacing"/>
        <w:rPr>
          <w:rFonts w:cstheme="minorHAnsi"/>
        </w:rPr>
      </w:pPr>
    </w:p>
    <w:p w14:paraId="3F475013" w14:textId="77777777" w:rsidR="00FB0AB6" w:rsidRPr="003B27CD" w:rsidRDefault="00FB0AB6" w:rsidP="00FB0AB6">
      <w:pPr>
        <w:pStyle w:val="NoSpacing"/>
        <w:rPr>
          <w:rFonts w:cstheme="minorHAnsi"/>
        </w:rPr>
      </w:pPr>
      <w:r w:rsidRPr="003B27CD">
        <w:rPr>
          <w:rFonts w:cstheme="minorHAnsi"/>
        </w:rPr>
        <w:t>The undersigned certifies to the best of his or her knowledge and belief, that:</w:t>
      </w:r>
    </w:p>
    <w:p w14:paraId="2DD7BC39" w14:textId="77777777" w:rsidR="00FB0AB6" w:rsidRPr="003B27CD" w:rsidRDefault="00FB0AB6" w:rsidP="00FB0AB6">
      <w:pPr>
        <w:pStyle w:val="NoSpacing"/>
        <w:rPr>
          <w:rFonts w:cstheme="minorHAnsi"/>
        </w:rPr>
      </w:pPr>
    </w:p>
    <w:p w14:paraId="485CAFF2" w14:textId="77777777" w:rsidR="00FB0AB6" w:rsidRPr="003B27CD" w:rsidRDefault="00FB0AB6" w:rsidP="00FB0AB6">
      <w:pPr>
        <w:pStyle w:val="NoSpacing"/>
        <w:numPr>
          <w:ilvl w:val="0"/>
          <w:numId w:val="17"/>
        </w:numPr>
        <w:rPr>
          <w:rFonts w:cstheme="minorHAnsi"/>
          <w:b/>
        </w:rPr>
      </w:pPr>
      <w:r w:rsidRPr="003B27CD">
        <w:rPr>
          <w:rFonts w:cstheme="minorHAnsi"/>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D6BD91" w14:textId="77777777" w:rsidR="00FB0AB6" w:rsidRPr="003B27CD" w:rsidRDefault="00FB0AB6" w:rsidP="00FB0AB6">
      <w:pPr>
        <w:pStyle w:val="NoSpacing"/>
        <w:numPr>
          <w:ilvl w:val="0"/>
          <w:numId w:val="17"/>
        </w:numPr>
        <w:rPr>
          <w:rFonts w:cstheme="minorHAnsi"/>
          <w:b/>
        </w:rPr>
      </w:pPr>
      <w:r w:rsidRPr="003B27CD">
        <w:rPr>
          <w:rFonts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73337AC" w14:textId="77777777" w:rsidR="00FB0AB6" w:rsidRPr="003B27CD" w:rsidRDefault="00FB0AB6" w:rsidP="00FB0AB6">
      <w:pPr>
        <w:pStyle w:val="NoSpacing"/>
        <w:numPr>
          <w:ilvl w:val="0"/>
          <w:numId w:val="17"/>
        </w:numPr>
        <w:rPr>
          <w:rFonts w:cstheme="minorHAnsi"/>
          <w:b/>
        </w:rPr>
      </w:pPr>
      <w:r w:rsidRPr="003B27CD">
        <w:rPr>
          <w:rFonts w:cstheme="min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2EB8CB7" w14:textId="77777777" w:rsidR="00FB0AB6" w:rsidRPr="003B27CD" w:rsidRDefault="00FB0AB6" w:rsidP="00FB0AB6">
      <w:pPr>
        <w:pStyle w:val="NoSpacing"/>
        <w:rPr>
          <w:rFonts w:cstheme="minorHAnsi"/>
          <w:b/>
        </w:rPr>
      </w:pPr>
    </w:p>
    <w:p w14:paraId="41820A0B" w14:textId="77777777" w:rsidR="00FB0AB6" w:rsidRPr="003B27CD" w:rsidRDefault="00FB0AB6" w:rsidP="00FB0AB6">
      <w:pPr>
        <w:pStyle w:val="NoSpacing"/>
        <w:rPr>
          <w:rFonts w:cstheme="minorHAnsi"/>
        </w:rPr>
      </w:pPr>
    </w:p>
    <w:p w14:paraId="34C81F5D" w14:textId="77777777" w:rsidR="00FB0AB6" w:rsidRPr="003B27CD" w:rsidRDefault="00FB0AB6" w:rsidP="00FB0AB6">
      <w:pPr>
        <w:pStyle w:val="NoSpacing"/>
        <w:rPr>
          <w:rFonts w:cstheme="minorHAnsi"/>
        </w:rPr>
      </w:pPr>
      <w:r w:rsidRPr="003B27CD">
        <w:rPr>
          <w:rFonts w:cstheme="minorHAnsi"/>
        </w:rPr>
        <w:t xml:space="preserve">This certification is a material representation of fact upon which reliance was placed when this transaction was made or entered into. Submission of this certification is a prerequisite for making or </w:t>
      </w:r>
      <w:proofErr w:type="gramStart"/>
      <w:r w:rsidRPr="003B27CD">
        <w:rPr>
          <w:rFonts w:cstheme="minorHAnsi"/>
        </w:rPr>
        <w:t>entering into</w:t>
      </w:r>
      <w:proofErr w:type="gramEnd"/>
      <w:r w:rsidRPr="003B27CD">
        <w:rPr>
          <w:rFonts w:cstheme="minorHAnsi"/>
        </w:rPr>
        <w:t xml:space="preserve"> this transaction imposed by section 1352, title 31, U.S. Code. Any person who fails to file the required certification shall be subject to a civil penalty of not less than $10,000 and not more than $100,000 for each such failure.</w:t>
      </w:r>
    </w:p>
    <w:p w14:paraId="7C6804AE" w14:textId="77777777" w:rsidR="00FB0AB6" w:rsidRPr="003B27CD" w:rsidRDefault="00FB0AB6" w:rsidP="00FB0AB6">
      <w:pPr>
        <w:pStyle w:val="NoSpacing"/>
        <w:rPr>
          <w:rFonts w:cstheme="minorHAnsi"/>
        </w:rPr>
      </w:pPr>
    </w:p>
    <w:p w14:paraId="3D887581" w14:textId="77777777" w:rsidR="00FB0AB6" w:rsidRPr="003B27CD" w:rsidRDefault="00FB0AB6" w:rsidP="00FB0AB6">
      <w:pPr>
        <w:pStyle w:val="NoSpacing"/>
        <w:rPr>
          <w:rFonts w:cstheme="minorHAnsi"/>
        </w:rPr>
      </w:pPr>
      <w:r w:rsidRPr="003B27CD">
        <w:rPr>
          <w:rFonts w:cstheme="minorHAnsi"/>
        </w:rPr>
        <w:t>____________________________________Signature of Contractor’s Authorized Official</w:t>
      </w:r>
    </w:p>
    <w:p w14:paraId="3710BE17" w14:textId="77777777" w:rsidR="00FB0AB6" w:rsidRPr="003B27CD" w:rsidRDefault="00FB0AB6" w:rsidP="00FB0AB6">
      <w:pPr>
        <w:pStyle w:val="NoSpacing"/>
        <w:rPr>
          <w:rFonts w:cstheme="minorHAnsi"/>
        </w:rPr>
      </w:pPr>
    </w:p>
    <w:p w14:paraId="1859453C" w14:textId="77777777" w:rsidR="00FB0AB6" w:rsidRPr="003B27CD" w:rsidRDefault="00FB0AB6" w:rsidP="00FB0AB6">
      <w:pPr>
        <w:pStyle w:val="NoSpacing"/>
        <w:rPr>
          <w:rFonts w:cstheme="minorHAnsi"/>
        </w:rPr>
      </w:pPr>
      <w:r w:rsidRPr="003B27CD">
        <w:rPr>
          <w:rFonts w:cstheme="minorHAnsi"/>
        </w:rPr>
        <w:t>____________________________________ Name and Title of Contractor’s Authorized Official</w:t>
      </w:r>
    </w:p>
    <w:p w14:paraId="33C1D036" w14:textId="77777777" w:rsidR="00FB0AB6" w:rsidRPr="003B27CD" w:rsidRDefault="00FB0AB6" w:rsidP="00FB0AB6">
      <w:pPr>
        <w:pStyle w:val="NoSpacing"/>
        <w:rPr>
          <w:rFonts w:cstheme="minorHAnsi"/>
        </w:rPr>
      </w:pPr>
    </w:p>
    <w:p w14:paraId="2D5D710C" w14:textId="77777777" w:rsidR="00FB0AB6" w:rsidRPr="003B27CD" w:rsidRDefault="00FB0AB6" w:rsidP="00FB0AB6">
      <w:pPr>
        <w:pStyle w:val="NoSpacing"/>
        <w:rPr>
          <w:rFonts w:cstheme="minorHAnsi"/>
        </w:rPr>
      </w:pPr>
      <w:r w:rsidRPr="003B27CD">
        <w:rPr>
          <w:rFonts w:cstheme="minorHAnsi"/>
        </w:rPr>
        <w:t>____________________________________ Date</w:t>
      </w:r>
    </w:p>
    <w:p w14:paraId="74C6B37F" w14:textId="2A2F57AA" w:rsidR="00871AF0" w:rsidRDefault="00871AF0">
      <w:pPr>
        <w:rPr>
          <w:rFonts w:cstheme="minorHAnsi"/>
        </w:rPr>
      </w:pPr>
      <w:r>
        <w:rPr>
          <w:rFonts w:cstheme="minorHAnsi"/>
        </w:rPr>
        <w:br w:type="page"/>
      </w:r>
    </w:p>
    <w:p w14:paraId="5AD8E733" w14:textId="77777777" w:rsidR="00FB0AB6" w:rsidRPr="003B27CD" w:rsidRDefault="00FB0AB6" w:rsidP="00FB0AB6">
      <w:pPr>
        <w:spacing w:after="0" w:line="240" w:lineRule="auto"/>
        <w:rPr>
          <w:rFonts w:eastAsia="Times New Roman" w:cs="Times New Roman"/>
          <w:b/>
          <w:bCs/>
          <w:shd w:val="clear" w:color="auto" w:fill="FFFFFF"/>
        </w:rPr>
      </w:pPr>
      <w:bookmarkStart w:id="0" w:name="_Hlk103170073"/>
      <w:r w:rsidRPr="003B27CD">
        <w:rPr>
          <w:rFonts w:eastAsia="Times New Roman" w:cs="Times New Roman"/>
          <w:b/>
          <w:bCs/>
          <w:shd w:val="clear" w:color="auto" w:fill="FFFFFF"/>
        </w:rPr>
        <w:lastRenderedPageBreak/>
        <w:t>IT ACQUISITION REGULATION</w:t>
      </w:r>
    </w:p>
    <w:p w14:paraId="4E2A7FB2" w14:textId="77777777" w:rsidR="00FB0AB6" w:rsidRPr="003B27CD" w:rsidRDefault="00FB0AB6" w:rsidP="00FB0AB6">
      <w:pPr>
        <w:spacing w:after="0" w:line="240" w:lineRule="auto"/>
        <w:rPr>
          <w:rFonts w:eastAsia="Times New Roman" w:cs="Times New Roman"/>
          <w:b/>
          <w:bCs/>
          <w:shd w:val="clear" w:color="auto" w:fill="FFFFFF"/>
        </w:rPr>
      </w:pPr>
    </w:p>
    <w:p w14:paraId="4F71A648" w14:textId="77777777" w:rsidR="00FB0AB6" w:rsidRPr="003B27CD" w:rsidRDefault="00FB0AB6" w:rsidP="00FB0AB6">
      <w:pPr>
        <w:spacing w:after="0" w:line="240" w:lineRule="auto"/>
        <w:rPr>
          <w:rFonts w:eastAsia="Times New Roman" w:cs="Times New Roman"/>
          <w:b/>
          <w:bCs/>
        </w:rPr>
      </w:pPr>
      <w:r w:rsidRPr="003B27CD">
        <w:rPr>
          <w:rFonts w:eastAsia="Times New Roman" w:cs="Times New Roman"/>
          <w:shd w:val="clear" w:color="auto" w:fill="FFFFFF"/>
        </w:rPr>
        <w:t>CONTRACTOR certifies through the signing of this contract that, consistent with Section 889 of the John S. McCain National Defense Authorization Act for Fiscal Year 2019, Pub. L. 115-232 (Aug. 13, 2018), the CONTRACTOR does not and will not use any equipment, system, or service that uses “covered telecommunications equipment or services” (as that term is defined in Section 889 of the Act) as a substantial or essential component of any system or as critical technology as part of any system. The CONTRACTOR will include this certification as a flow down clause in any contract related to this Contract.</w:t>
      </w:r>
    </w:p>
    <w:bookmarkEnd w:id="0"/>
    <w:p w14:paraId="5604F118" w14:textId="77777777" w:rsidR="00FB0AB6" w:rsidRPr="003B27CD" w:rsidRDefault="00FB0AB6" w:rsidP="00FB0AB6">
      <w:pPr>
        <w:pStyle w:val="NoSpacing"/>
        <w:rPr>
          <w:rFonts w:cstheme="minorHAnsi"/>
          <w:b/>
        </w:rPr>
      </w:pPr>
    </w:p>
    <w:p w14:paraId="16A216DD" w14:textId="77777777" w:rsidR="00FB0AB6" w:rsidRPr="003B27CD" w:rsidRDefault="00FB0AB6" w:rsidP="00FB0AB6">
      <w:pPr>
        <w:pStyle w:val="NoSpacing"/>
        <w:rPr>
          <w:rFonts w:cstheme="minorHAnsi"/>
          <w:b/>
        </w:rPr>
      </w:pPr>
      <w:r w:rsidRPr="003B27CD">
        <w:rPr>
          <w:rFonts w:cstheme="minorHAnsi"/>
          <w:b/>
        </w:rPr>
        <w:t>NO GOVERNMENT OBLIGATION TO THIRD PARTIES</w:t>
      </w:r>
    </w:p>
    <w:p w14:paraId="6353DA66" w14:textId="77777777" w:rsidR="00FB0AB6" w:rsidRPr="003B27CD" w:rsidRDefault="00FB0AB6" w:rsidP="00FB0AB6">
      <w:pPr>
        <w:pStyle w:val="NoSpacing"/>
        <w:rPr>
          <w:rFonts w:cstheme="minorHAnsi"/>
          <w:b/>
        </w:rPr>
      </w:pPr>
    </w:p>
    <w:p w14:paraId="22EE6B26" w14:textId="77777777" w:rsidR="00FB0AB6" w:rsidRPr="003B27CD" w:rsidRDefault="00FB0AB6" w:rsidP="00FB0AB6">
      <w:pPr>
        <w:pStyle w:val="NoSpacing"/>
        <w:rPr>
          <w:rFonts w:cstheme="minorHAnsi"/>
        </w:rPr>
      </w:pPr>
      <w:r w:rsidRPr="003B27CD">
        <w:rPr>
          <w:rFonts w:cstheme="minorHAnsi"/>
        </w:rP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772E1F33" w14:textId="77777777" w:rsidR="00FB0AB6" w:rsidRPr="003B27CD" w:rsidRDefault="00FB0AB6" w:rsidP="00FB0AB6">
      <w:pPr>
        <w:pStyle w:val="NoSpacing"/>
        <w:rPr>
          <w:rFonts w:cstheme="minorHAnsi"/>
        </w:rPr>
      </w:pPr>
    </w:p>
    <w:p w14:paraId="3F6FD84B" w14:textId="77777777" w:rsidR="00FB0AB6" w:rsidRPr="003B27CD" w:rsidRDefault="00FB0AB6" w:rsidP="00FB0AB6">
      <w:pPr>
        <w:pStyle w:val="NoSpacing"/>
        <w:rPr>
          <w:rFonts w:cstheme="minorHAnsi"/>
          <w:b/>
        </w:rPr>
      </w:pPr>
      <w:r w:rsidRPr="003B27CD">
        <w:rPr>
          <w:rFonts w:cstheme="minorHAnsi"/>
          <w:b/>
        </w:rPr>
        <w:t>PROGRAM FRAUD AND FALSE OR FRAUDULENT STATEMENTS AND RELATED ACTS</w:t>
      </w:r>
    </w:p>
    <w:p w14:paraId="40C99D52" w14:textId="77777777" w:rsidR="00FB0AB6" w:rsidRPr="003B27CD" w:rsidRDefault="00FB0AB6" w:rsidP="00FB0AB6">
      <w:pPr>
        <w:pStyle w:val="NoSpacing"/>
        <w:rPr>
          <w:rFonts w:cstheme="minorHAnsi"/>
        </w:rPr>
      </w:pPr>
      <w:r w:rsidRPr="003B27CD">
        <w:rPr>
          <w:rFonts w:cstheme="minorHAnsi"/>
        </w:rPr>
        <w:t>49 U.S.C. § 5323(l) (1) 31 U.S.C. §§ 3801-3812 18 U.S.C. § 1001 49 C.F.R. part 31</w:t>
      </w:r>
    </w:p>
    <w:p w14:paraId="11A53818" w14:textId="77777777" w:rsidR="00FB0AB6" w:rsidRPr="003B27CD" w:rsidRDefault="00FB0AB6" w:rsidP="00FB0AB6">
      <w:pPr>
        <w:pStyle w:val="NoSpacing"/>
        <w:rPr>
          <w:rFonts w:cstheme="minorHAnsi"/>
        </w:rPr>
      </w:pPr>
    </w:p>
    <w:p w14:paraId="0A65BA60" w14:textId="77777777" w:rsidR="00FB0AB6" w:rsidRPr="003B27CD" w:rsidRDefault="00FB0AB6" w:rsidP="00FB0AB6">
      <w:pPr>
        <w:pStyle w:val="NoSpacing"/>
        <w:rPr>
          <w:rFonts w:cstheme="minorHAnsi"/>
        </w:rPr>
      </w:pPr>
      <w:r w:rsidRPr="003B27CD">
        <w:rPr>
          <w:rFonts w:cstheme="minorHAnsi"/>
        </w:rPr>
        <w:t>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7BABBD8D" w14:textId="77777777" w:rsidR="00FB0AB6" w:rsidRPr="003B27CD" w:rsidRDefault="00FB0AB6" w:rsidP="00FB0AB6">
      <w:pPr>
        <w:pStyle w:val="NoSpacing"/>
        <w:rPr>
          <w:rFonts w:cstheme="minorHAnsi"/>
        </w:rPr>
      </w:pPr>
    </w:p>
    <w:p w14:paraId="0693D1C6" w14:textId="77777777" w:rsidR="00FB0AB6" w:rsidRPr="003B27CD" w:rsidRDefault="00FB0AB6" w:rsidP="00FB0AB6">
      <w:pPr>
        <w:pStyle w:val="NoSpacing"/>
        <w:rPr>
          <w:rFonts w:cstheme="minorHAnsi"/>
        </w:rPr>
      </w:pPr>
      <w:r w:rsidRPr="003B27CD">
        <w:rPr>
          <w:rFonts w:cstheme="minorHAnsi"/>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6FE33CAB" w14:textId="77777777" w:rsidR="00FB0AB6" w:rsidRPr="003B27CD" w:rsidRDefault="00FB0AB6" w:rsidP="00FB0AB6">
      <w:pPr>
        <w:pStyle w:val="NoSpacing"/>
        <w:rPr>
          <w:rFonts w:cstheme="minorHAnsi"/>
        </w:rPr>
      </w:pPr>
    </w:p>
    <w:p w14:paraId="7B9B5E9C" w14:textId="77777777" w:rsidR="00FB0AB6" w:rsidRPr="003B27CD" w:rsidRDefault="00FB0AB6" w:rsidP="00FB0AB6">
      <w:pPr>
        <w:pStyle w:val="NoSpacing"/>
        <w:rPr>
          <w:rFonts w:cstheme="minorHAnsi"/>
        </w:rPr>
      </w:pPr>
      <w:r w:rsidRPr="003B27CD">
        <w:rPr>
          <w:rFonts w:cstheme="minorHAnsi"/>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1289757E" w14:textId="77777777" w:rsidR="00FB0AB6" w:rsidRPr="003B27CD" w:rsidRDefault="00FB0AB6" w:rsidP="00FB0AB6">
      <w:pPr>
        <w:pStyle w:val="NoSpacing"/>
        <w:rPr>
          <w:rFonts w:cstheme="minorHAnsi"/>
        </w:rPr>
      </w:pPr>
    </w:p>
    <w:p w14:paraId="3E6D2F20" w14:textId="77777777" w:rsidR="00FB0AB6" w:rsidRPr="003B27CD" w:rsidRDefault="00FB0AB6" w:rsidP="00FB0AB6">
      <w:pPr>
        <w:pStyle w:val="NoSpacing"/>
        <w:rPr>
          <w:rFonts w:cstheme="minorHAnsi"/>
          <w:b/>
        </w:rPr>
      </w:pPr>
      <w:r w:rsidRPr="003B27CD">
        <w:rPr>
          <w:rFonts w:cstheme="minorHAnsi"/>
          <w:b/>
        </w:rPr>
        <w:lastRenderedPageBreak/>
        <w:t>RECYCLED PRODUCTS</w:t>
      </w:r>
    </w:p>
    <w:p w14:paraId="7DB5BBFB" w14:textId="77777777" w:rsidR="00FB0AB6" w:rsidRPr="003B27CD" w:rsidRDefault="00FB0AB6" w:rsidP="00FB0AB6">
      <w:pPr>
        <w:pStyle w:val="NoSpacing"/>
        <w:rPr>
          <w:rFonts w:cstheme="minorHAnsi"/>
        </w:rPr>
      </w:pPr>
      <w:r w:rsidRPr="003B27CD">
        <w:rPr>
          <w:rFonts w:cstheme="minorHAnsi"/>
        </w:rPr>
        <w:t>42 U.S.C. § 6962 40 C.F.R. part 247 2 C.F.R. part § 200.322</w:t>
      </w:r>
    </w:p>
    <w:p w14:paraId="3FF998D3" w14:textId="77777777" w:rsidR="00FB0AB6" w:rsidRPr="003B27CD" w:rsidRDefault="00FB0AB6" w:rsidP="00FB0AB6">
      <w:pPr>
        <w:pStyle w:val="NoSpacing"/>
        <w:ind w:firstLine="720"/>
        <w:rPr>
          <w:rFonts w:cstheme="minorHAnsi"/>
        </w:rPr>
      </w:pPr>
    </w:p>
    <w:p w14:paraId="6568AE3E" w14:textId="77777777" w:rsidR="00FB0AB6" w:rsidRPr="003B27CD" w:rsidRDefault="00FB0AB6" w:rsidP="00FB0AB6">
      <w:pPr>
        <w:pStyle w:val="NoSpacing"/>
        <w:jc w:val="center"/>
        <w:rPr>
          <w:rFonts w:cstheme="minorHAnsi"/>
          <w:b/>
        </w:rPr>
      </w:pPr>
      <w:r w:rsidRPr="003B27CD">
        <w:rPr>
          <w:rFonts w:cstheme="minorHAnsi"/>
          <w:b/>
        </w:rPr>
        <w:t>Recovered Materials</w:t>
      </w:r>
    </w:p>
    <w:p w14:paraId="7BF16752" w14:textId="77777777" w:rsidR="00FB0AB6" w:rsidRPr="003B27CD" w:rsidRDefault="00FB0AB6" w:rsidP="00FB0AB6">
      <w:pPr>
        <w:pStyle w:val="NoSpacing"/>
        <w:jc w:val="center"/>
        <w:rPr>
          <w:rFonts w:cstheme="minorHAnsi"/>
          <w:b/>
        </w:rPr>
      </w:pPr>
    </w:p>
    <w:p w14:paraId="7715BD15" w14:textId="77777777" w:rsidR="00FB0AB6" w:rsidRPr="003B27CD" w:rsidRDefault="00FB0AB6" w:rsidP="00FB0AB6">
      <w:pPr>
        <w:pStyle w:val="NoSpacing"/>
        <w:rPr>
          <w:rFonts w:cstheme="minorHAnsi"/>
        </w:rPr>
      </w:pPr>
      <w:r w:rsidRPr="003B27CD">
        <w:rPr>
          <w:rFonts w:cstheme="minorHAnsi"/>
        </w:rPr>
        <w:t>The Contractor agrees to provide a preference for those products and services that conserve natural resources, protect the environment, and are energy efficient by complying with and facilitating compliance with Section 6002 of the Resource Conservation and Recovery Act, as amended, 42 U.S.C. § 6962, and U.S. Environmental Protection Agency (U.S. EPA), “Comprehensive Procurement Guideline for Products Containing Recovered Materials,” 40 C.F.R. part 247.</w:t>
      </w:r>
    </w:p>
    <w:p w14:paraId="1803B80E" w14:textId="77777777" w:rsidR="00FB0AB6" w:rsidRPr="003B27CD" w:rsidRDefault="00FB0AB6" w:rsidP="00FB0AB6">
      <w:pPr>
        <w:pStyle w:val="NoSpacing"/>
        <w:rPr>
          <w:rFonts w:cstheme="minorHAnsi"/>
        </w:rPr>
      </w:pPr>
    </w:p>
    <w:p w14:paraId="61B8BA70" w14:textId="77777777" w:rsidR="00FB0AB6" w:rsidRPr="003B27CD" w:rsidRDefault="00FB0AB6" w:rsidP="00FB0AB6">
      <w:pPr>
        <w:pStyle w:val="NoSpacing"/>
        <w:rPr>
          <w:rFonts w:cstheme="minorHAnsi"/>
          <w:b/>
        </w:rPr>
      </w:pPr>
      <w:r w:rsidRPr="003B27CD">
        <w:rPr>
          <w:rFonts w:cstheme="minorHAnsi"/>
          <w:b/>
        </w:rPr>
        <w:t>SAFE OPERATION OF MOTOR VEHICLES</w:t>
      </w:r>
    </w:p>
    <w:p w14:paraId="06D5543A" w14:textId="77777777" w:rsidR="00FB0AB6" w:rsidRPr="003B27CD" w:rsidRDefault="00FB0AB6" w:rsidP="00FB0AB6">
      <w:pPr>
        <w:pStyle w:val="NoSpacing"/>
        <w:rPr>
          <w:rFonts w:cstheme="minorHAnsi"/>
        </w:rPr>
      </w:pPr>
      <w:r w:rsidRPr="003B27CD">
        <w:rPr>
          <w:rFonts w:cstheme="minorHAnsi"/>
        </w:rPr>
        <w:t>23 U.S.C. part 402 Executive Order No. 13043 Executive Order No. 13513 U.S. DOT Order No. 3902.10</w:t>
      </w:r>
    </w:p>
    <w:p w14:paraId="410CDA03" w14:textId="77777777" w:rsidR="00FB0AB6" w:rsidRPr="003B27CD" w:rsidRDefault="00FB0AB6" w:rsidP="00FB0AB6">
      <w:pPr>
        <w:pStyle w:val="NoSpacing"/>
        <w:rPr>
          <w:rFonts w:cstheme="minorHAnsi"/>
        </w:rPr>
      </w:pPr>
    </w:p>
    <w:p w14:paraId="25146D9F" w14:textId="77777777" w:rsidR="00FB0AB6" w:rsidRPr="003B27CD" w:rsidRDefault="00FB0AB6" w:rsidP="00FB0AB6">
      <w:pPr>
        <w:pStyle w:val="NoSpacing"/>
        <w:rPr>
          <w:rFonts w:cstheme="minorHAnsi"/>
        </w:rPr>
      </w:pPr>
      <w:r w:rsidRPr="003B27CD">
        <w:rPr>
          <w:rFonts w:cstheme="minorHAnsi"/>
        </w:rPr>
        <w:t>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w:t>
      </w:r>
    </w:p>
    <w:p w14:paraId="1BBE4002" w14:textId="77777777" w:rsidR="00FB0AB6" w:rsidRDefault="00FB0AB6" w:rsidP="00FB0AB6">
      <w:pPr>
        <w:pStyle w:val="NoSpacing"/>
        <w:rPr>
          <w:rFonts w:cstheme="minorHAnsi"/>
        </w:rPr>
      </w:pPr>
    </w:p>
    <w:p w14:paraId="691A0EF2" w14:textId="77777777" w:rsidR="002642EA" w:rsidRPr="003B27CD" w:rsidRDefault="002642EA" w:rsidP="00FB0AB6">
      <w:pPr>
        <w:pStyle w:val="NoSpacing"/>
        <w:rPr>
          <w:rFonts w:cstheme="minorHAnsi"/>
        </w:rPr>
      </w:pPr>
    </w:p>
    <w:p w14:paraId="6CAA5EFF" w14:textId="77777777" w:rsidR="00FB0AB6" w:rsidRPr="003B27CD" w:rsidRDefault="00FB0AB6" w:rsidP="00FB0AB6">
      <w:pPr>
        <w:pStyle w:val="NoSpacing"/>
        <w:jc w:val="center"/>
        <w:rPr>
          <w:rFonts w:cstheme="minorHAnsi"/>
          <w:b/>
        </w:rPr>
      </w:pPr>
      <w:r w:rsidRPr="003B27CD">
        <w:rPr>
          <w:rFonts w:cstheme="minorHAnsi"/>
          <w:b/>
        </w:rPr>
        <w:t>Termination for Convenience</w:t>
      </w:r>
    </w:p>
    <w:p w14:paraId="5F0B4768" w14:textId="77777777" w:rsidR="00FB0AB6" w:rsidRPr="003B27CD" w:rsidRDefault="00FB0AB6" w:rsidP="00FB0AB6">
      <w:pPr>
        <w:pStyle w:val="NoSpacing"/>
        <w:jc w:val="center"/>
        <w:rPr>
          <w:rFonts w:cstheme="minorHAnsi"/>
          <w:b/>
        </w:rPr>
      </w:pPr>
    </w:p>
    <w:p w14:paraId="4EBF5AD7" w14:textId="77777777" w:rsidR="00FB0AB6" w:rsidRPr="003B27CD" w:rsidRDefault="00FB0AB6" w:rsidP="00FB0AB6">
      <w:pPr>
        <w:pStyle w:val="NoSpacing"/>
        <w:rPr>
          <w:rFonts w:cstheme="minorHAnsi"/>
        </w:rPr>
      </w:pPr>
      <w:r w:rsidRPr="003B27CD">
        <w:rPr>
          <w:rFonts w:cstheme="minorHAnsi"/>
        </w:rPr>
        <w:t>The AGENCY may terminate this contract, in whole or in part, at any time by written notice to the Contractor when it is in the AGENCY’s best interest. The Contractor shall be paid its costs, including contract close-out costs, and profit on work performed up to the time of termination. The Contractor shall promptly submit its termination claim to AGENCY to be paid the Contractor. If the Contractor has any property in its possession belonging to AGENCY, the Contractor will account for the same, and dispose of it in the manner AGENCY directs.</w:t>
      </w:r>
    </w:p>
    <w:p w14:paraId="1E0CBFD3" w14:textId="77777777" w:rsidR="00FB0AB6" w:rsidRPr="003B27CD" w:rsidRDefault="00FB0AB6" w:rsidP="00FB0AB6">
      <w:pPr>
        <w:pStyle w:val="NoSpacing"/>
        <w:rPr>
          <w:rFonts w:cstheme="minorHAnsi"/>
        </w:rPr>
      </w:pPr>
    </w:p>
    <w:p w14:paraId="6A27D3B2" w14:textId="77777777" w:rsidR="00FB0AB6" w:rsidRPr="003B27CD" w:rsidRDefault="00FB0AB6" w:rsidP="00FB0AB6">
      <w:pPr>
        <w:pStyle w:val="NoSpacing"/>
        <w:jc w:val="center"/>
        <w:rPr>
          <w:rFonts w:cstheme="minorHAnsi"/>
        </w:rPr>
      </w:pPr>
      <w:r w:rsidRPr="003B27CD">
        <w:rPr>
          <w:rFonts w:cstheme="minorHAnsi"/>
          <w:b/>
        </w:rPr>
        <w:t>Opportunity to Cure</w:t>
      </w:r>
    </w:p>
    <w:p w14:paraId="14F14FE6" w14:textId="77777777" w:rsidR="00FB0AB6" w:rsidRPr="003B27CD" w:rsidRDefault="00FB0AB6" w:rsidP="00FB0AB6">
      <w:pPr>
        <w:pStyle w:val="NoSpacing"/>
        <w:jc w:val="center"/>
        <w:rPr>
          <w:rFonts w:cstheme="minorHAnsi"/>
        </w:rPr>
      </w:pPr>
    </w:p>
    <w:p w14:paraId="0892E42E" w14:textId="77777777" w:rsidR="00FB0AB6" w:rsidRPr="003B27CD" w:rsidRDefault="00FB0AB6" w:rsidP="00FB0AB6">
      <w:pPr>
        <w:pStyle w:val="NoSpacing"/>
        <w:rPr>
          <w:rFonts w:cstheme="minorHAnsi"/>
        </w:rPr>
      </w:pPr>
      <w:r w:rsidRPr="003B27CD">
        <w:rPr>
          <w:rFonts w:cstheme="minorHAnsi"/>
        </w:rPr>
        <w:t xml:space="preserve">The AGENCY, in its sole discretion may, in the case of a termination for breach or default, allow the Contractor [an appropriately short period of time] in which to cure the defect. In such case, the Notice of Termination will state the time period in which cure is permitted and other appropriate </w:t>
      </w:r>
      <w:proofErr w:type="gramStart"/>
      <w:r w:rsidRPr="003B27CD">
        <w:rPr>
          <w:rFonts w:cstheme="minorHAnsi"/>
        </w:rPr>
        <w:t>conditions</w:t>
      </w:r>
      <w:proofErr w:type="gramEnd"/>
    </w:p>
    <w:p w14:paraId="06485FFA" w14:textId="77777777" w:rsidR="00FB0AB6" w:rsidRPr="003B27CD" w:rsidRDefault="00FB0AB6" w:rsidP="00FB0AB6">
      <w:pPr>
        <w:pStyle w:val="NoSpacing"/>
        <w:rPr>
          <w:rFonts w:cstheme="minorHAnsi"/>
        </w:rPr>
      </w:pPr>
    </w:p>
    <w:p w14:paraId="2196B431" w14:textId="77777777" w:rsidR="00FB0AB6" w:rsidRPr="003B27CD" w:rsidRDefault="00FB0AB6" w:rsidP="00FB0AB6">
      <w:pPr>
        <w:pStyle w:val="NoSpacing"/>
        <w:rPr>
          <w:rFonts w:cstheme="minorHAnsi"/>
        </w:rPr>
      </w:pPr>
      <w:r w:rsidRPr="003B27CD">
        <w:rPr>
          <w:rFonts w:cstheme="minorHAnsi"/>
        </w:rPr>
        <w:t>If Contractor fails to remedy to AGENCY's satisfaction the breach or default of any of the terms, covenants, or conditions of this Contract within [10 days] after receipt by Contractor of written notice from AGENCY setting forth the nature of said breach or default, AGENCY shall have the right to terminate the contract without any further obligation to Contractor. Any such termination for default shall not in any way operate to preclude AGENCY from also pursuing all available remedies against Contractor and its sureties for said breach or default.</w:t>
      </w:r>
    </w:p>
    <w:p w14:paraId="2D8B8262" w14:textId="55584D44" w:rsidR="009E4A44" w:rsidRDefault="009E4A44">
      <w:pPr>
        <w:rPr>
          <w:rFonts w:cstheme="minorHAnsi"/>
        </w:rPr>
      </w:pPr>
      <w:r>
        <w:rPr>
          <w:rFonts w:cstheme="minorHAnsi"/>
        </w:rPr>
        <w:br w:type="page"/>
      </w:r>
    </w:p>
    <w:p w14:paraId="37990125" w14:textId="77777777" w:rsidR="00FB0AB6" w:rsidRPr="003B27CD" w:rsidRDefault="00FB0AB6" w:rsidP="00FB0AB6">
      <w:pPr>
        <w:pStyle w:val="NoSpacing"/>
        <w:rPr>
          <w:rFonts w:cstheme="minorHAnsi"/>
        </w:rPr>
      </w:pPr>
    </w:p>
    <w:p w14:paraId="5C15C77C" w14:textId="77777777" w:rsidR="00FB0AB6" w:rsidRPr="003B27CD" w:rsidRDefault="00FB0AB6" w:rsidP="00FB0AB6">
      <w:pPr>
        <w:pStyle w:val="NoSpacing"/>
        <w:jc w:val="center"/>
        <w:rPr>
          <w:rFonts w:cstheme="minorHAnsi"/>
          <w:b/>
        </w:rPr>
      </w:pPr>
      <w:r w:rsidRPr="003B27CD">
        <w:rPr>
          <w:rFonts w:cstheme="minorHAnsi"/>
          <w:b/>
        </w:rPr>
        <w:t>Waiver of Remedies for any Branch</w:t>
      </w:r>
    </w:p>
    <w:p w14:paraId="4A92D0BD" w14:textId="77777777" w:rsidR="00FB0AB6" w:rsidRPr="003B27CD" w:rsidRDefault="00FB0AB6" w:rsidP="00FB0AB6">
      <w:pPr>
        <w:pStyle w:val="NoSpacing"/>
        <w:jc w:val="center"/>
        <w:rPr>
          <w:rFonts w:cstheme="minorHAnsi"/>
          <w:b/>
        </w:rPr>
      </w:pPr>
    </w:p>
    <w:p w14:paraId="7D5EC3B0" w14:textId="77777777" w:rsidR="00FB0AB6" w:rsidRPr="003B27CD" w:rsidRDefault="00FB0AB6" w:rsidP="00FB0AB6">
      <w:pPr>
        <w:pStyle w:val="NoSpacing"/>
        <w:rPr>
          <w:rFonts w:cstheme="minorHAnsi"/>
        </w:rPr>
      </w:pPr>
      <w:r w:rsidRPr="003B27CD">
        <w:rPr>
          <w:rFonts w:cstheme="minorHAnsi"/>
        </w:rPr>
        <w:t xml:space="preserve">In the event that AGENCY elects to waive its remedies for any breach by Contractor of any covenant, term or condition of this contract, such waiver by AGENCY shall not limit AGENCY’s remedies for any succeeding breach of that or of any other covenant, term, or condition of this </w:t>
      </w:r>
      <w:proofErr w:type="gramStart"/>
      <w:r w:rsidRPr="003B27CD">
        <w:rPr>
          <w:rFonts w:cstheme="minorHAnsi"/>
        </w:rPr>
        <w:t>contract</w:t>
      </w:r>
      <w:proofErr w:type="gramEnd"/>
    </w:p>
    <w:p w14:paraId="37863FC2" w14:textId="77777777" w:rsidR="00FB0AB6" w:rsidRPr="003B27CD" w:rsidRDefault="00FB0AB6" w:rsidP="00FB0AB6">
      <w:pPr>
        <w:pStyle w:val="NoSpacing"/>
        <w:rPr>
          <w:rFonts w:cstheme="minorHAnsi"/>
        </w:rPr>
      </w:pPr>
    </w:p>
    <w:p w14:paraId="3448C307" w14:textId="77777777" w:rsidR="00FB0AB6" w:rsidRPr="003B27CD" w:rsidRDefault="00FB0AB6" w:rsidP="00FB0AB6">
      <w:pPr>
        <w:pStyle w:val="NoSpacing"/>
        <w:jc w:val="center"/>
        <w:rPr>
          <w:rFonts w:cstheme="minorHAnsi"/>
        </w:rPr>
      </w:pPr>
      <w:r w:rsidRPr="003B27CD">
        <w:rPr>
          <w:rFonts w:cstheme="minorHAnsi"/>
          <w:b/>
        </w:rPr>
        <w:t>Termination for Default (Supplies and Service</w:t>
      </w:r>
      <w:r w:rsidRPr="003B27CD">
        <w:rPr>
          <w:rFonts w:cstheme="minorHAnsi"/>
        </w:rPr>
        <w:t>)</w:t>
      </w:r>
    </w:p>
    <w:p w14:paraId="666EBD4E" w14:textId="77777777" w:rsidR="00FB0AB6" w:rsidRPr="003B27CD" w:rsidRDefault="00FB0AB6" w:rsidP="00FB0AB6">
      <w:pPr>
        <w:pStyle w:val="NoSpacing"/>
        <w:jc w:val="center"/>
        <w:rPr>
          <w:rFonts w:cstheme="minorHAnsi"/>
        </w:rPr>
      </w:pPr>
    </w:p>
    <w:p w14:paraId="41614A67" w14:textId="77777777" w:rsidR="00FB0AB6" w:rsidRPr="003B27CD" w:rsidRDefault="00FB0AB6" w:rsidP="00FB0AB6">
      <w:pPr>
        <w:pStyle w:val="NoSpacing"/>
        <w:rPr>
          <w:rFonts w:cstheme="minorHAnsi"/>
        </w:rPr>
      </w:pPr>
      <w:r w:rsidRPr="003B27CD">
        <w:rPr>
          <w:rFonts w:cstheme="minorHAnsi"/>
        </w:rPr>
        <w:t>If the Contractor fails to deliver supplies or to perform the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w:t>
      </w:r>
    </w:p>
    <w:p w14:paraId="4C702EEE" w14:textId="77777777" w:rsidR="00FB0AB6" w:rsidRPr="003B27CD" w:rsidRDefault="00FB0AB6" w:rsidP="00FB0AB6">
      <w:pPr>
        <w:pStyle w:val="NoSpacing"/>
        <w:rPr>
          <w:rFonts w:cstheme="minorHAnsi"/>
        </w:rPr>
      </w:pPr>
    </w:p>
    <w:p w14:paraId="06C52E51" w14:textId="77777777" w:rsidR="00FB0AB6" w:rsidRPr="003B27CD" w:rsidRDefault="00FB0AB6" w:rsidP="00FB0AB6">
      <w:pPr>
        <w:pStyle w:val="NoSpacing"/>
        <w:rPr>
          <w:rFonts w:cstheme="minorHAnsi"/>
        </w:rPr>
      </w:pPr>
      <w:r w:rsidRPr="003B27CD">
        <w:rPr>
          <w:rFonts w:cstheme="minorHAnsi"/>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558E8256" w14:textId="77777777" w:rsidR="00FB0AB6" w:rsidRPr="003B27CD" w:rsidRDefault="00FB0AB6" w:rsidP="00FB0AB6">
      <w:pPr>
        <w:pStyle w:val="NoSpacing"/>
        <w:rPr>
          <w:rFonts w:cstheme="minorHAnsi"/>
        </w:rPr>
      </w:pPr>
    </w:p>
    <w:p w14:paraId="572AFDD3" w14:textId="77777777" w:rsidR="00FB0AB6" w:rsidRPr="003B27CD" w:rsidRDefault="00FB0AB6" w:rsidP="00FB0AB6">
      <w:pPr>
        <w:pStyle w:val="NoSpacing"/>
        <w:jc w:val="center"/>
        <w:rPr>
          <w:rFonts w:cstheme="minorHAnsi"/>
          <w:b/>
        </w:rPr>
      </w:pPr>
      <w:r w:rsidRPr="003B27CD">
        <w:rPr>
          <w:rFonts w:cstheme="minorHAnsi"/>
          <w:b/>
        </w:rPr>
        <w:t>Termination for Default (Transportation Services</w:t>
      </w:r>
    </w:p>
    <w:p w14:paraId="275866AA" w14:textId="77777777" w:rsidR="00FB0AB6" w:rsidRPr="003B27CD" w:rsidRDefault="00FB0AB6" w:rsidP="00FB0AB6">
      <w:pPr>
        <w:pStyle w:val="NoSpacing"/>
        <w:jc w:val="center"/>
        <w:rPr>
          <w:rFonts w:cstheme="minorHAnsi"/>
          <w:b/>
        </w:rPr>
      </w:pPr>
    </w:p>
    <w:p w14:paraId="05674787" w14:textId="77777777" w:rsidR="00FB0AB6" w:rsidRPr="003B27CD" w:rsidRDefault="00FB0AB6" w:rsidP="00FB0AB6">
      <w:pPr>
        <w:pStyle w:val="NoSpacing"/>
        <w:rPr>
          <w:rFonts w:cstheme="minorHAnsi"/>
        </w:rPr>
      </w:pPr>
      <w:r w:rsidRPr="003B27CD">
        <w:rPr>
          <w:rFonts w:cstheme="minorHAnsi"/>
        </w:rPr>
        <w:t>If the Contractor fails to pick up the commodities or to perform the services, including delivery services, within the time specified in this contract or any extension, or if the Contractor fails to comply with any other provisions of this contract, the AGENCY may terminate this contract for default. The AGENCY shall terminate by delivering to the Contractor a Notice of Termination specifying the nature of default. The Contractor will only be paid the contract price for services performed in accordance with the manner of performance set forth in this contract.</w:t>
      </w:r>
    </w:p>
    <w:p w14:paraId="662FA942" w14:textId="77777777" w:rsidR="00FB0AB6" w:rsidRPr="003B27CD" w:rsidRDefault="00FB0AB6" w:rsidP="00FB0AB6">
      <w:pPr>
        <w:pStyle w:val="NoSpacing"/>
        <w:rPr>
          <w:rFonts w:cstheme="minorHAnsi"/>
        </w:rPr>
      </w:pPr>
    </w:p>
    <w:p w14:paraId="4D7D310D" w14:textId="77777777" w:rsidR="00FB0AB6" w:rsidRPr="003B27CD" w:rsidRDefault="00FB0AB6" w:rsidP="00FB0AB6">
      <w:pPr>
        <w:pStyle w:val="NoSpacing"/>
        <w:rPr>
          <w:rFonts w:cstheme="minorHAnsi"/>
        </w:rPr>
      </w:pPr>
      <w:r w:rsidRPr="003B27CD">
        <w:rPr>
          <w:rFonts w:cstheme="minorHAnsi"/>
        </w:rPr>
        <w:t>If this contract is terminated while the Contractor has possession of AGENCY goods, the Contractor shall, upon direction of the AGENCY, protect and preserve the goods until surrendered to the AGENCY or its agent. The Contractor and AGENCY shall agree on payment for the preservation and protection of goods. Failure to agree on an amount will be resolved under the Dispute clause.</w:t>
      </w:r>
    </w:p>
    <w:p w14:paraId="56CFA506" w14:textId="77777777" w:rsidR="00FB0AB6" w:rsidRPr="003B27CD" w:rsidRDefault="00FB0AB6" w:rsidP="00FB0AB6">
      <w:pPr>
        <w:pStyle w:val="NoSpacing"/>
        <w:rPr>
          <w:rFonts w:cstheme="minorHAnsi"/>
        </w:rPr>
      </w:pPr>
    </w:p>
    <w:p w14:paraId="76FAC732" w14:textId="77777777" w:rsidR="00FB0AB6" w:rsidRPr="003B27CD" w:rsidRDefault="00FB0AB6" w:rsidP="00FB0AB6">
      <w:pPr>
        <w:pStyle w:val="NoSpacing"/>
        <w:rPr>
          <w:rFonts w:cstheme="minorHAnsi"/>
        </w:rPr>
      </w:pPr>
      <w:r w:rsidRPr="003B27CD">
        <w:rPr>
          <w:rFonts w:cstheme="minorHAnsi"/>
        </w:rPr>
        <w:t>If, after termination for failure to fulfill contract obligations, it is determined that the Contractor was not in default, the rights and obligations of the parties shall be the same as if the termination had been issued for the convenience of the AGENCY.</w:t>
      </w:r>
    </w:p>
    <w:p w14:paraId="0DB8B836" w14:textId="03CDC14F" w:rsidR="009E4A44" w:rsidRDefault="009E4A44">
      <w:pPr>
        <w:rPr>
          <w:rFonts w:cstheme="minorHAnsi"/>
          <w:b/>
        </w:rPr>
      </w:pPr>
      <w:r>
        <w:rPr>
          <w:rFonts w:cstheme="minorHAnsi"/>
          <w:b/>
        </w:rPr>
        <w:br w:type="page"/>
      </w:r>
    </w:p>
    <w:p w14:paraId="027FAA97" w14:textId="77777777" w:rsidR="00FB0AB6" w:rsidRPr="003B27CD" w:rsidRDefault="00FB0AB6" w:rsidP="00FB0AB6">
      <w:pPr>
        <w:pStyle w:val="NoSpacing"/>
        <w:rPr>
          <w:rFonts w:cstheme="minorHAnsi"/>
          <w:b/>
        </w:rPr>
      </w:pPr>
      <w:r w:rsidRPr="003B27CD">
        <w:rPr>
          <w:rFonts w:cstheme="minorHAnsi"/>
          <w:b/>
        </w:rPr>
        <w:lastRenderedPageBreak/>
        <w:t>VIOLATION AND BREACH OF CONTRACT</w:t>
      </w:r>
    </w:p>
    <w:p w14:paraId="76C01474" w14:textId="77777777" w:rsidR="00FB0AB6" w:rsidRPr="003B27CD" w:rsidRDefault="00FB0AB6" w:rsidP="00FB0AB6">
      <w:pPr>
        <w:pStyle w:val="NoSpacing"/>
        <w:rPr>
          <w:rFonts w:cstheme="minorHAnsi"/>
        </w:rPr>
      </w:pPr>
      <w:r w:rsidRPr="003B27CD">
        <w:rPr>
          <w:rFonts w:cstheme="minorHAnsi"/>
        </w:rPr>
        <w:t>2 C.F.R. § 200.326 2 C.F.R. part 200, Appendix II (A)</w:t>
      </w:r>
    </w:p>
    <w:p w14:paraId="41DDAFC9" w14:textId="77777777" w:rsidR="00FB0AB6" w:rsidRPr="003B27CD" w:rsidRDefault="00FB0AB6" w:rsidP="00FB0AB6">
      <w:pPr>
        <w:pStyle w:val="NoSpacing"/>
        <w:rPr>
          <w:rFonts w:cstheme="minorHAnsi"/>
        </w:rPr>
      </w:pPr>
    </w:p>
    <w:p w14:paraId="70AD9659" w14:textId="77777777" w:rsidR="00FB0AB6" w:rsidRPr="003B27CD" w:rsidRDefault="00FB0AB6" w:rsidP="00FB0AB6">
      <w:pPr>
        <w:pStyle w:val="NoSpacing"/>
        <w:jc w:val="center"/>
        <w:rPr>
          <w:rFonts w:cstheme="minorHAnsi"/>
          <w:b/>
        </w:rPr>
      </w:pPr>
      <w:r w:rsidRPr="003B27CD">
        <w:rPr>
          <w:rFonts w:cstheme="minorHAnsi"/>
          <w:b/>
        </w:rPr>
        <w:t>Rights and Remedies of the AGENCY</w:t>
      </w:r>
    </w:p>
    <w:p w14:paraId="4E6DB67D" w14:textId="77777777" w:rsidR="00FB0AB6" w:rsidRPr="003B27CD" w:rsidRDefault="00FB0AB6" w:rsidP="00FB0AB6">
      <w:pPr>
        <w:pStyle w:val="NoSpacing"/>
        <w:jc w:val="center"/>
        <w:rPr>
          <w:rFonts w:cstheme="minorHAnsi"/>
          <w:b/>
        </w:rPr>
      </w:pPr>
    </w:p>
    <w:p w14:paraId="61FEB173" w14:textId="77777777" w:rsidR="00FB0AB6" w:rsidRPr="003B27CD" w:rsidRDefault="00FB0AB6" w:rsidP="00FB0AB6">
      <w:pPr>
        <w:pStyle w:val="NoSpacing"/>
        <w:numPr>
          <w:ilvl w:val="0"/>
          <w:numId w:val="18"/>
        </w:numPr>
        <w:rPr>
          <w:rFonts w:cstheme="minorHAnsi"/>
        </w:rPr>
      </w:pPr>
      <w:r w:rsidRPr="003B27CD">
        <w:rPr>
          <w:rFonts w:cstheme="minorHAnsi"/>
        </w:rPr>
        <w:t xml:space="preserve">The right to take over and complete the work or any part thereof as agency for and at the expense of the Contractor, either directly or through other </w:t>
      </w:r>
      <w:proofErr w:type="gramStart"/>
      <w:r w:rsidRPr="003B27CD">
        <w:rPr>
          <w:rFonts w:cstheme="minorHAnsi"/>
        </w:rPr>
        <w:t>contractors;</w:t>
      </w:r>
      <w:proofErr w:type="gramEnd"/>
    </w:p>
    <w:p w14:paraId="02EA7308" w14:textId="77777777" w:rsidR="00FB0AB6" w:rsidRPr="003B27CD" w:rsidRDefault="00FB0AB6" w:rsidP="00FB0AB6">
      <w:pPr>
        <w:pStyle w:val="NoSpacing"/>
        <w:numPr>
          <w:ilvl w:val="0"/>
          <w:numId w:val="18"/>
        </w:numPr>
        <w:rPr>
          <w:rFonts w:cstheme="minorHAnsi"/>
        </w:rPr>
      </w:pPr>
      <w:r w:rsidRPr="003B27CD">
        <w:rPr>
          <w:rFonts w:cstheme="minorHAnsi"/>
        </w:rPr>
        <w:t xml:space="preserve"> The right to cancel this Contract as to any or all of the work yet to be </w:t>
      </w:r>
      <w:proofErr w:type="gramStart"/>
      <w:r w:rsidRPr="003B27CD">
        <w:rPr>
          <w:rFonts w:cstheme="minorHAnsi"/>
        </w:rPr>
        <w:t>performed;</w:t>
      </w:r>
      <w:proofErr w:type="gramEnd"/>
    </w:p>
    <w:p w14:paraId="774B9CBF" w14:textId="77777777" w:rsidR="00FB0AB6" w:rsidRPr="003B27CD" w:rsidRDefault="00FB0AB6" w:rsidP="00FB0AB6">
      <w:pPr>
        <w:pStyle w:val="NoSpacing"/>
        <w:numPr>
          <w:ilvl w:val="0"/>
          <w:numId w:val="18"/>
        </w:numPr>
        <w:rPr>
          <w:rFonts w:cstheme="minorHAnsi"/>
        </w:rPr>
      </w:pPr>
      <w:r w:rsidRPr="003B27CD">
        <w:rPr>
          <w:rFonts w:cstheme="minorHAnsi"/>
        </w:rPr>
        <w:t xml:space="preserve">The right to specific performance, an </w:t>
      </w:r>
      <w:proofErr w:type="gramStart"/>
      <w:r w:rsidRPr="003B27CD">
        <w:rPr>
          <w:rFonts w:cstheme="minorHAnsi"/>
        </w:rPr>
        <w:t>injunction</w:t>
      </w:r>
      <w:proofErr w:type="gramEnd"/>
      <w:r w:rsidRPr="003B27CD">
        <w:rPr>
          <w:rFonts w:cstheme="minorHAnsi"/>
        </w:rPr>
        <w:t xml:space="preserve"> or any other appropriate equitable remedy; and</w:t>
      </w:r>
    </w:p>
    <w:p w14:paraId="2AC936FD" w14:textId="77777777" w:rsidR="00FB0AB6" w:rsidRPr="003B27CD" w:rsidRDefault="00FB0AB6" w:rsidP="00FB0AB6">
      <w:pPr>
        <w:pStyle w:val="NoSpacing"/>
        <w:numPr>
          <w:ilvl w:val="0"/>
          <w:numId w:val="18"/>
        </w:numPr>
        <w:rPr>
          <w:rFonts w:cstheme="minorHAnsi"/>
        </w:rPr>
      </w:pPr>
      <w:r w:rsidRPr="003B27CD">
        <w:rPr>
          <w:rFonts w:cstheme="minorHAnsi"/>
        </w:rPr>
        <w:t>The right to money damages.</w:t>
      </w:r>
    </w:p>
    <w:p w14:paraId="044F4C2C" w14:textId="77777777" w:rsidR="00FB0AB6" w:rsidRPr="003B27CD" w:rsidRDefault="00FB0AB6" w:rsidP="00FB0AB6">
      <w:pPr>
        <w:pStyle w:val="NoSpacing"/>
        <w:rPr>
          <w:rFonts w:cstheme="minorHAnsi"/>
        </w:rPr>
      </w:pPr>
    </w:p>
    <w:p w14:paraId="7129F9AA" w14:textId="77777777" w:rsidR="00FB0AB6" w:rsidRPr="003B27CD" w:rsidRDefault="00FB0AB6" w:rsidP="00FB0AB6">
      <w:pPr>
        <w:pStyle w:val="NoSpacing"/>
        <w:rPr>
          <w:rFonts w:cstheme="minorHAnsi"/>
        </w:rPr>
      </w:pPr>
      <w:r w:rsidRPr="003B27CD">
        <w:rPr>
          <w:rFonts w:cstheme="minorHAnsi"/>
        </w:rPr>
        <w:t>For purposes of this Contract, breach shall include (AGENCY to define).</w:t>
      </w:r>
    </w:p>
    <w:p w14:paraId="725BEC1C" w14:textId="77777777" w:rsidR="00FB0AB6" w:rsidRPr="003B27CD" w:rsidRDefault="00FB0AB6" w:rsidP="00FB0AB6">
      <w:pPr>
        <w:pStyle w:val="NoSpacing"/>
        <w:rPr>
          <w:rFonts w:cstheme="minorHAnsi"/>
        </w:rPr>
      </w:pPr>
    </w:p>
    <w:p w14:paraId="4B7DEA07" w14:textId="77777777" w:rsidR="00FB0AB6" w:rsidRPr="003B27CD" w:rsidRDefault="00FB0AB6" w:rsidP="00FB0AB6">
      <w:pPr>
        <w:pStyle w:val="NoSpacing"/>
        <w:jc w:val="center"/>
        <w:rPr>
          <w:rFonts w:cstheme="minorHAnsi"/>
          <w:b/>
        </w:rPr>
      </w:pPr>
      <w:r w:rsidRPr="003B27CD">
        <w:rPr>
          <w:rFonts w:cstheme="minorHAnsi"/>
          <w:b/>
        </w:rPr>
        <w:t>Rights and Remedies of Contractor</w:t>
      </w:r>
    </w:p>
    <w:p w14:paraId="3887F220" w14:textId="77777777" w:rsidR="00FB0AB6" w:rsidRPr="003B27CD" w:rsidRDefault="00FB0AB6" w:rsidP="00FB0AB6">
      <w:pPr>
        <w:pStyle w:val="NoSpacing"/>
        <w:jc w:val="center"/>
        <w:rPr>
          <w:rFonts w:cstheme="minorHAnsi"/>
          <w:b/>
        </w:rPr>
      </w:pPr>
    </w:p>
    <w:p w14:paraId="52607876" w14:textId="77777777" w:rsidR="00FB0AB6" w:rsidRPr="003B27CD" w:rsidRDefault="00FB0AB6" w:rsidP="00FB0AB6">
      <w:pPr>
        <w:pStyle w:val="NoSpacing"/>
        <w:rPr>
          <w:rFonts w:cstheme="minorHAnsi"/>
        </w:rPr>
      </w:pPr>
      <w:r w:rsidRPr="003B27CD">
        <w:rPr>
          <w:rFonts w:cstheme="minorHAnsi"/>
        </w:rPr>
        <w:t xml:space="preserve">Inasmuch as the Contractor can be adequately compensated by money damages for any breach of this Contract, which may be committed by the AGENCY, the Contractor expressly agrees that no default, </w:t>
      </w:r>
      <w:proofErr w:type="gramStart"/>
      <w:r w:rsidRPr="003B27CD">
        <w:rPr>
          <w:rFonts w:cstheme="minorHAnsi"/>
        </w:rPr>
        <w:t>act</w:t>
      </w:r>
      <w:proofErr w:type="gramEnd"/>
      <w:r w:rsidRPr="003B27CD">
        <w:rPr>
          <w:rFonts w:cstheme="minorHAnsi"/>
        </w:rPr>
        <w:t xml:space="preserve"> or omission of the AGENCY shall constitute a material breach of this Contract, entitling Contractor to cancel or rescind the Contract (unless the AGENCY directs Contractor to do so) or to suspend or abandon performance.</w:t>
      </w:r>
    </w:p>
    <w:p w14:paraId="59FA219B" w14:textId="77777777" w:rsidR="00FB0AB6" w:rsidRPr="003B27CD" w:rsidRDefault="00FB0AB6" w:rsidP="00FB0AB6">
      <w:pPr>
        <w:pStyle w:val="NoSpacing"/>
        <w:rPr>
          <w:rFonts w:cstheme="minorHAnsi"/>
        </w:rPr>
      </w:pPr>
    </w:p>
    <w:p w14:paraId="6BE80FDF" w14:textId="77777777" w:rsidR="00FB0AB6" w:rsidRPr="003B27CD" w:rsidRDefault="00FB0AB6" w:rsidP="00FB0AB6">
      <w:pPr>
        <w:pStyle w:val="NoSpacing"/>
        <w:jc w:val="center"/>
        <w:rPr>
          <w:rFonts w:cstheme="minorHAnsi"/>
          <w:b/>
        </w:rPr>
      </w:pPr>
      <w:r w:rsidRPr="003B27CD">
        <w:rPr>
          <w:rFonts w:cstheme="minorHAnsi"/>
          <w:b/>
        </w:rPr>
        <w:t>Remedies</w:t>
      </w:r>
    </w:p>
    <w:p w14:paraId="40B5D2AD" w14:textId="77777777" w:rsidR="00FB0AB6" w:rsidRPr="003B27CD" w:rsidRDefault="00FB0AB6" w:rsidP="00FB0AB6">
      <w:pPr>
        <w:pStyle w:val="NoSpacing"/>
        <w:jc w:val="center"/>
        <w:rPr>
          <w:rFonts w:cstheme="minorHAnsi"/>
          <w:b/>
        </w:rPr>
      </w:pPr>
    </w:p>
    <w:p w14:paraId="1A6009A5" w14:textId="77777777" w:rsidR="00FB0AB6" w:rsidRPr="003B27CD" w:rsidRDefault="00FB0AB6" w:rsidP="00FB0AB6">
      <w:pPr>
        <w:pStyle w:val="NoSpacing"/>
        <w:rPr>
          <w:rFonts w:cstheme="minorHAnsi"/>
        </w:rPr>
      </w:pPr>
      <w:r w:rsidRPr="003B27CD">
        <w:rPr>
          <w:rFonts w:cstheme="minorHAnsi"/>
        </w:rPr>
        <w:t xml:space="preserve">Substantial failure of the Contractor to complete the Project in accordance with the terms of this Agreement will be a default of this Agreement. In the event of a default, the AGENCY will have all remedies in law and equity, including the right to specific performance, without further assistance, and the rights to termination or suspension as provided herein. The Contractor recognizes that in the event of a breach of this Agreement by the Contractor before the AGENCY </w:t>
      </w:r>
      <w:proofErr w:type="gramStart"/>
      <w:r w:rsidRPr="003B27CD">
        <w:rPr>
          <w:rFonts w:cstheme="minorHAnsi"/>
        </w:rPr>
        <w:t>takes action</w:t>
      </w:r>
      <w:proofErr w:type="gramEnd"/>
      <w:r w:rsidRPr="003B27CD">
        <w:rPr>
          <w:rFonts w:cstheme="minorHAnsi"/>
        </w:rPr>
        <w:t xml:space="preserve"> contemplated herein, the AGENCY will provide the Contractor with sixty (60) days written notice that the AGENCY considers that such a breach has occurred and will provide the Contractor a reasonable period of time to respond and to take necessary corrective action.</w:t>
      </w:r>
    </w:p>
    <w:p w14:paraId="715ECDC3" w14:textId="77777777" w:rsidR="00FB0AB6" w:rsidRPr="003B27CD" w:rsidRDefault="00FB0AB6" w:rsidP="00FB0AB6">
      <w:pPr>
        <w:pStyle w:val="NoSpacing"/>
        <w:rPr>
          <w:rFonts w:cstheme="minorHAnsi"/>
        </w:rPr>
      </w:pPr>
    </w:p>
    <w:p w14:paraId="5D08B556" w14:textId="77777777" w:rsidR="00FB0AB6" w:rsidRPr="003B27CD" w:rsidRDefault="00FB0AB6" w:rsidP="00FB0AB6">
      <w:pPr>
        <w:pStyle w:val="NoSpacing"/>
        <w:jc w:val="center"/>
        <w:rPr>
          <w:rFonts w:cstheme="minorHAnsi"/>
          <w:b/>
        </w:rPr>
      </w:pPr>
      <w:r w:rsidRPr="003B27CD">
        <w:rPr>
          <w:rFonts w:cstheme="minorHAnsi"/>
          <w:b/>
        </w:rPr>
        <w:t>Disputes</w:t>
      </w:r>
    </w:p>
    <w:p w14:paraId="32219C0E" w14:textId="77777777" w:rsidR="00FB0AB6" w:rsidRPr="003B27CD" w:rsidRDefault="00FB0AB6" w:rsidP="00FB0AB6">
      <w:pPr>
        <w:pStyle w:val="NoSpacing"/>
        <w:jc w:val="center"/>
        <w:rPr>
          <w:rFonts w:cstheme="minorHAnsi"/>
          <w:b/>
        </w:rPr>
      </w:pPr>
    </w:p>
    <w:p w14:paraId="4E6C8992" w14:textId="77777777" w:rsidR="00FB0AB6" w:rsidRPr="003B27CD" w:rsidRDefault="00FB0AB6" w:rsidP="00FB0AB6">
      <w:pPr>
        <w:pStyle w:val="NoSpacing"/>
        <w:rPr>
          <w:rFonts w:cstheme="minorHAnsi"/>
        </w:rPr>
      </w:pPr>
      <w:r w:rsidRPr="003B27CD">
        <w:rPr>
          <w:rFonts w:cstheme="minorHAnsi"/>
        </w:rPr>
        <w:t>Disputes arising in the performance of this Contract that are not resolved by agreement of the parties shall be decided in writing by the authorized representative of AGENCY’s [title of employee]. This decision shall be final and conclusive unless within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w:t>
      </w:r>
    </w:p>
    <w:p w14:paraId="34E680A1" w14:textId="36690908" w:rsidR="009E4A44" w:rsidRDefault="009E4A44">
      <w:pPr>
        <w:rPr>
          <w:rFonts w:cstheme="minorHAnsi"/>
        </w:rPr>
      </w:pPr>
      <w:r>
        <w:rPr>
          <w:rFonts w:cstheme="minorHAnsi"/>
        </w:rPr>
        <w:br w:type="page"/>
      </w:r>
    </w:p>
    <w:p w14:paraId="768C4767" w14:textId="77777777" w:rsidR="00FB0AB6" w:rsidRPr="003B27CD" w:rsidRDefault="00FB0AB6" w:rsidP="00FB0AB6">
      <w:pPr>
        <w:pStyle w:val="NoSpacing"/>
        <w:rPr>
          <w:rFonts w:cstheme="minorHAnsi"/>
        </w:rPr>
      </w:pPr>
    </w:p>
    <w:p w14:paraId="09E16B1F" w14:textId="77777777" w:rsidR="00FB0AB6" w:rsidRPr="003B27CD" w:rsidRDefault="00FB0AB6" w:rsidP="00FB0AB6">
      <w:pPr>
        <w:pStyle w:val="NoSpacing"/>
        <w:jc w:val="center"/>
        <w:rPr>
          <w:rFonts w:cstheme="minorHAnsi"/>
          <w:b/>
        </w:rPr>
      </w:pPr>
      <w:r w:rsidRPr="003B27CD">
        <w:rPr>
          <w:rFonts w:cstheme="minorHAnsi"/>
          <w:b/>
        </w:rPr>
        <w:t>Performance during Dispute</w:t>
      </w:r>
    </w:p>
    <w:p w14:paraId="27D73471" w14:textId="77777777" w:rsidR="00FB0AB6" w:rsidRPr="003B27CD" w:rsidRDefault="00FB0AB6" w:rsidP="00FB0AB6">
      <w:pPr>
        <w:pStyle w:val="NoSpacing"/>
        <w:jc w:val="center"/>
        <w:rPr>
          <w:rFonts w:cstheme="minorHAnsi"/>
          <w:b/>
        </w:rPr>
      </w:pPr>
    </w:p>
    <w:p w14:paraId="0603A507" w14:textId="77777777" w:rsidR="00FB0AB6" w:rsidRPr="003B27CD" w:rsidRDefault="00FB0AB6" w:rsidP="00FB0AB6">
      <w:pPr>
        <w:pStyle w:val="NoSpacing"/>
        <w:ind w:firstLine="720"/>
        <w:rPr>
          <w:rFonts w:cstheme="minorHAnsi"/>
        </w:rPr>
      </w:pPr>
      <w:r w:rsidRPr="003B27CD">
        <w:rPr>
          <w:rFonts w:cstheme="minorHAnsi"/>
        </w:rPr>
        <w:t>Unless otherwise directed by AGENCY, Contractor shall continue performance under this Contract while matters in dispute are being resolved.</w:t>
      </w:r>
    </w:p>
    <w:p w14:paraId="54DEA614" w14:textId="77777777" w:rsidR="00FB0AB6" w:rsidRPr="003B27CD" w:rsidRDefault="00FB0AB6" w:rsidP="00FB0AB6">
      <w:pPr>
        <w:pStyle w:val="NoSpacing"/>
        <w:rPr>
          <w:rFonts w:cstheme="minorHAnsi"/>
        </w:rPr>
      </w:pPr>
    </w:p>
    <w:p w14:paraId="7C96315E" w14:textId="77777777" w:rsidR="00FB0AB6" w:rsidRPr="003B27CD" w:rsidRDefault="00FB0AB6" w:rsidP="00FB0AB6">
      <w:pPr>
        <w:pStyle w:val="NoSpacing"/>
        <w:jc w:val="center"/>
        <w:rPr>
          <w:rFonts w:cstheme="minorHAnsi"/>
          <w:b/>
        </w:rPr>
      </w:pPr>
      <w:r w:rsidRPr="003B27CD">
        <w:rPr>
          <w:rFonts w:cstheme="minorHAnsi"/>
          <w:b/>
        </w:rPr>
        <w:t>Claims for Damages</w:t>
      </w:r>
    </w:p>
    <w:p w14:paraId="28F0D6C4" w14:textId="77777777" w:rsidR="00FB0AB6" w:rsidRPr="003B27CD" w:rsidRDefault="00FB0AB6" w:rsidP="00FB0AB6">
      <w:pPr>
        <w:pStyle w:val="NoSpacing"/>
        <w:jc w:val="center"/>
        <w:rPr>
          <w:rFonts w:cstheme="minorHAnsi"/>
          <w:b/>
        </w:rPr>
      </w:pPr>
      <w:r w:rsidRPr="003B27CD">
        <w:rPr>
          <w:rFonts w:cstheme="minorHAnsi"/>
          <w:b/>
        </w:rPr>
        <w:tab/>
      </w:r>
    </w:p>
    <w:p w14:paraId="3A6BDB2B" w14:textId="77777777" w:rsidR="00FB0AB6" w:rsidRPr="003B27CD" w:rsidRDefault="00FB0AB6" w:rsidP="00FB0AB6">
      <w:pPr>
        <w:pStyle w:val="NoSpacing"/>
        <w:ind w:firstLine="720"/>
        <w:rPr>
          <w:rFonts w:cstheme="minorHAnsi"/>
        </w:rPr>
      </w:pPr>
      <w:r w:rsidRPr="003B27CD">
        <w:rPr>
          <w:rFonts w:cstheme="minorHAnsi"/>
        </w:rPr>
        <w:t xml:space="preserve">Should either party to the Contract suffer injury or damage to person or property because of any act or omission of the party or of any of its employees, </w:t>
      </w:r>
      <w:proofErr w:type="gramStart"/>
      <w:r w:rsidRPr="003B27CD">
        <w:rPr>
          <w:rFonts w:cstheme="minorHAnsi"/>
        </w:rPr>
        <w:t>agents</w:t>
      </w:r>
      <w:proofErr w:type="gramEnd"/>
      <w:r w:rsidRPr="003B27CD">
        <w:rPr>
          <w:rFonts w:cstheme="minorHAnsi"/>
        </w:rPr>
        <w:t xml:space="preserve"> or others for whose acts it is legally liable, a claim for damages therefor shall be made in writing to such other party within a reasonable time after the first observance of such injury or damage.</w:t>
      </w:r>
    </w:p>
    <w:p w14:paraId="56C3E2C7" w14:textId="77777777" w:rsidR="00FB0AB6" w:rsidRPr="003B27CD" w:rsidRDefault="00FB0AB6" w:rsidP="00FB0AB6">
      <w:pPr>
        <w:pStyle w:val="NoSpacing"/>
        <w:rPr>
          <w:rFonts w:cstheme="minorHAnsi"/>
        </w:rPr>
      </w:pPr>
    </w:p>
    <w:p w14:paraId="33DFC42F" w14:textId="77777777" w:rsidR="00FB0AB6" w:rsidRPr="003B27CD" w:rsidRDefault="00FB0AB6" w:rsidP="00FB0AB6">
      <w:pPr>
        <w:pStyle w:val="NoSpacing"/>
        <w:jc w:val="center"/>
        <w:rPr>
          <w:rFonts w:cstheme="minorHAnsi"/>
          <w:b/>
        </w:rPr>
      </w:pPr>
      <w:r w:rsidRPr="003B27CD">
        <w:rPr>
          <w:rFonts w:cstheme="minorHAnsi"/>
          <w:b/>
        </w:rPr>
        <w:t>Remedies</w:t>
      </w:r>
    </w:p>
    <w:p w14:paraId="2A761B63" w14:textId="77777777" w:rsidR="00FB0AB6" w:rsidRPr="003B27CD" w:rsidRDefault="00FB0AB6" w:rsidP="00FB0AB6">
      <w:pPr>
        <w:pStyle w:val="NoSpacing"/>
        <w:jc w:val="center"/>
        <w:rPr>
          <w:rFonts w:cstheme="minorHAnsi"/>
          <w:b/>
        </w:rPr>
      </w:pPr>
    </w:p>
    <w:p w14:paraId="1005766A" w14:textId="77777777" w:rsidR="00FB0AB6" w:rsidRPr="003B27CD" w:rsidRDefault="00FB0AB6" w:rsidP="00FB0AB6">
      <w:pPr>
        <w:pStyle w:val="NoSpacing"/>
        <w:ind w:firstLine="720"/>
        <w:rPr>
          <w:rFonts w:cstheme="minorHAnsi"/>
        </w:rPr>
      </w:pPr>
      <w:r w:rsidRPr="003B27CD">
        <w:rPr>
          <w:rFonts w:cstheme="minorHAnsi"/>
        </w:rPr>
        <w:t xml:space="preserve">Unless this Contract provides otherwise, all claims, counterclaims, </w:t>
      </w:r>
      <w:proofErr w:type="gramStart"/>
      <w:r w:rsidRPr="003B27CD">
        <w:rPr>
          <w:rFonts w:cstheme="minorHAnsi"/>
        </w:rPr>
        <w:t>disputes</w:t>
      </w:r>
      <w:proofErr w:type="gramEnd"/>
      <w:r w:rsidRPr="003B27CD">
        <w:rPr>
          <w:rFonts w:cstheme="minorHAnsi"/>
        </w:rPr>
        <w:t xml:space="preserve"> and other matters in question between the AGENCY and the Contractor arising out of or relating to this agreement or its breach will be decided by arbitration if the parties mutually agree, or in a court of competent jurisdiction within the State in which the AGENCY is located.</w:t>
      </w:r>
    </w:p>
    <w:p w14:paraId="3C9C84FE" w14:textId="77777777" w:rsidR="00FB0AB6" w:rsidRPr="003B27CD" w:rsidRDefault="00FB0AB6" w:rsidP="00FB0AB6">
      <w:pPr>
        <w:pStyle w:val="NoSpacing"/>
        <w:rPr>
          <w:rFonts w:cstheme="minorHAnsi"/>
        </w:rPr>
      </w:pPr>
    </w:p>
    <w:p w14:paraId="5BA6DEDC" w14:textId="77777777" w:rsidR="00FB0AB6" w:rsidRPr="003B27CD" w:rsidRDefault="00FB0AB6" w:rsidP="00FB0AB6">
      <w:pPr>
        <w:pStyle w:val="NoSpacing"/>
        <w:jc w:val="center"/>
        <w:rPr>
          <w:rFonts w:cstheme="minorHAnsi"/>
          <w:b/>
        </w:rPr>
      </w:pPr>
      <w:r w:rsidRPr="003B27CD">
        <w:rPr>
          <w:rFonts w:cstheme="minorHAnsi"/>
          <w:b/>
        </w:rPr>
        <w:t>Rights and Remedies</w:t>
      </w:r>
    </w:p>
    <w:p w14:paraId="2BC08EEA" w14:textId="77777777" w:rsidR="00FB0AB6" w:rsidRPr="003B27CD" w:rsidRDefault="00FB0AB6" w:rsidP="00FB0AB6">
      <w:pPr>
        <w:pStyle w:val="NoSpacing"/>
        <w:jc w:val="center"/>
        <w:rPr>
          <w:rFonts w:cstheme="minorHAnsi"/>
          <w:b/>
        </w:rPr>
      </w:pPr>
    </w:p>
    <w:p w14:paraId="15377D8E" w14:textId="77777777" w:rsidR="00FB0AB6" w:rsidRPr="003B27CD" w:rsidRDefault="00FB0AB6" w:rsidP="00FB0AB6">
      <w:pPr>
        <w:pStyle w:val="NoSpacing"/>
        <w:ind w:firstLine="720"/>
        <w:rPr>
          <w:rFonts w:cstheme="minorHAnsi"/>
          <w:b/>
        </w:rPr>
      </w:pPr>
      <w:r w:rsidRPr="003B27CD">
        <w:rPr>
          <w:rFonts w:cstheme="minorHAnsi"/>
        </w:rPr>
        <w:t xml:space="preserve">The duties and obligations imposed by the Contract documents and the rights and remedies available thereunder shall be in addition to and not a limitation of any duties, obligations, </w:t>
      </w:r>
      <w:proofErr w:type="gramStart"/>
      <w:r w:rsidRPr="003B27CD">
        <w:rPr>
          <w:rFonts w:cstheme="minorHAnsi"/>
        </w:rPr>
        <w:t>rights</w:t>
      </w:r>
      <w:proofErr w:type="gramEnd"/>
      <w:r w:rsidRPr="003B27CD">
        <w:rPr>
          <w:rFonts w:cstheme="minorHAnsi"/>
        </w:rPr>
        <w:t xml:space="preserve"> and remedies otherwise imposed or available by law. No action or failure to act by the AGENCY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0CD85C33" w14:textId="77777777" w:rsidR="00FB0AB6" w:rsidRPr="003B27CD" w:rsidRDefault="00FB0AB6" w:rsidP="00FB0AB6">
      <w:pPr>
        <w:pStyle w:val="NoSpacing"/>
        <w:rPr>
          <w:rFonts w:cstheme="minorHAnsi"/>
          <w:b/>
        </w:rPr>
      </w:pPr>
    </w:p>
    <w:p w14:paraId="6355B910" w14:textId="77777777" w:rsidR="00FB0AB6" w:rsidRPr="003B27CD" w:rsidRDefault="00FB0AB6" w:rsidP="00FB0AB6">
      <w:pPr>
        <w:pStyle w:val="NoSpacing"/>
        <w:rPr>
          <w:rFonts w:cstheme="minorHAnsi"/>
          <w:b/>
        </w:rPr>
      </w:pPr>
    </w:p>
    <w:p w14:paraId="6AA97EEA" w14:textId="77777777" w:rsidR="00FB0AB6" w:rsidRPr="003B27CD" w:rsidRDefault="00FB0AB6" w:rsidP="00FB0AB6">
      <w:pPr>
        <w:pStyle w:val="NoSpacing"/>
        <w:jc w:val="center"/>
      </w:pPr>
      <w:r w:rsidRPr="003B27CD">
        <w:rPr>
          <w:b/>
          <w:bCs/>
        </w:rPr>
        <w:t>FEDERAL CHANGES 49 CFR Part 18</w:t>
      </w:r>
    </w:p>
    <w:p w14:paraId="0376CAA0" w14:textId="77777777" w:rsidR="00FB0AB6" w:rsidRPr="003B27CD" w:rsidRDefault="00FB0AB6" w:rsidP="00FB0AB6">
      <w:pPr>
        <w:pStyle w:val="NoSpacing"/>
      </w:pPr>
    </w:p>
    <w:p w14:paraId="7F481A03" w14:textId="77777777" w:rsidR="00FB0AB6" w:rsidRPr="003B27CD" w:rsidRDefault="00FB0AB6" w:rsidP="00FB0AB6">
      <w:pPr>
        <w:pStyle w:val="NoSpacing"/>
        <w:rPr>
          <w:rFonts w:cstheme="minorHAnsi"/>
        </w:rPr>
      </w:pPr>
      <w:r w:rsidRPr="003B27CD">
        <w:t xml:space="preserve">Applicability to Contracts: The Federal Changes requirement applies to all contracts. Flow down Requirements: The Federal Changes requirement flows down appropriately to each applicable changed requirement. Federal Changes - Consultant shall at all times comply with all applicable FTA regulations, policies, procedures and directives, including without limitation those listed directly or by reference in the Master Agreement between NCTD and </w:t>
      </w:r>
      <w:proofErr w:type="gramStart"/>
      <w:r w:rsidRPr="003B27CD">
        <w:t>FTA ,</w:t>
      </w:r>
      <w:proofErr w:type="gramEnd"/>
      <w:r w:rsidRPr="003B27CD">
        <w:t xml:space="preserve"> as they may be amended or promulgated from time to time during the term of this contract. Consultant's failure to so comply shall constitute a material breach of this contract.</w:t>
      </w:r>
    </w:p>
    <w:p w14:paraId="51A7EF5F" w14:textId="77777777" w:rsidR="00E91F09" w:rsidRPr="003B27CD" w:rsidRDefault="00E91F09" w:rsidP="00C33687">
      <w:pPr>
        <w:pStyle w:val="AttH-2H"/>
        <w:numPr>
          <w:ilvl w:val="0"/>
          <w:numId w:val="0"/>
        </w:numPr>
        <w:ind w:left="1350"/>
      </w:pPr>
    </w:p>
    <w:sectPr w:rsidR="00E91F09" w:rsidRPr="003B27CD" w:rsidSect="002268D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8488" w14:textId="77777777" w:rsidR="006B4A67" w:rsidRDefault="006B4A67" w:rsidP="00AB2D29">
      <w:pPr>
        <w:spacing w:after="0" w:line="240" w:lineRule="auto"/>
      </w:pPr>
      <w:r>
        <w:separator/>
      </w:r>
    </w:p>
  </w:endnote>
  <w:endnote w:type="continuationSeparator" w:id="0">
    <w:p w14:paraId="01544F2F" w14:textId="77777777" w:rsidR="006B4A67" w:rsidRDefault="006B4A67" w:rsidP="00AB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40489"/>
      <w:docPartObj>
        <w:docPartGallery w:val="Page Numbers (Bottom of Page)"/>
        <w:docPartUnique/>
      </w:docPartObj>
    </w:sdtPr>
    <w:sdtContent>
      <w:p w14:paraId="310FE1E3" w14:textId="0EA904E9" w:rsidR="00D11ADD" w:rsidRDefault="00D11ADD">
        <w:pPr>
          <w:pStyle w:val="Footer"/>
          <w:jc w:val="right"/>
        </w:pPr>
        <w:r>
          <w:rPr>
            <w:b/>
            <w:bCs/>
            <w:noProof/>
          </w:rPr>
          <mc:AlternateContent>
            <mc:Choice Requires="wps">
              <w:drawing>
                <wp:anchor distT="0" distB="0" distL="114300" distR="114300" simplePos="0" relativeHeight="251661312" behindDoc="1" locked="0" layoutInCell="1" allowOverlap="1" wp14:anchorId="4502E240" wp14:editId="07C0E7D8">
                  <wp:simplePos x="0" y="0"/>
                  <wp:positionH relativeFrom="column">
                    <wp:posOffset>-903605</wp:posOffset>
                  </wp:positionH>
                  <wp:positionV relativeFrom="paragraph">
                    <wp:posOffset>-286799</wp:posOffset>
                  </wp:positionV>
                  <wp:extent cx="7751135" cy="903768"/>
                  <wp:effectExtent l="0" t="0" r="2540" b="0"/>
                  <wp:wrapNone/>
                  <wp:docPr id="731854526" name="Rectangle 3"/>
                  <wp:cNvGraphicFramePr/>
                  <a:graphic xmlns:a="http://schemas.openxmlformats.org/drawingml/2006/main">
                    <a:graphicData uri="http://schemas.microsoft.com/office/word/2010/wordprocessingShape">
                      <wps:wsp>
                        <wps:cNvSpPr/>
                        <wps:spPr>
                          <a:xfrm>
                            <a:off x="0" y="0"/>
                            <a:ext cx="7751135" cy="903768"/>
                          </a:xfrm>
                          <a:prstGeom prst="rect">
                            <a:avLst/>
                          </a:prstGeom>
                          <a:solidFill>
                            <a:schemeClr val="accent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85911" id="Rectangle 3" o:spid="_x0000_s1026" style="position:absolute;margin-left:-71.15pt;margin-top:-22.6pt;width:610.35pt;height:71.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" fillcolor="#4472c4 [3204]" stroked="f" strokeweight="1pt">
                  <v:fill opacity="32896f"/>
                </v:rect>
              </w:pict>
            </mc:Fallback>
          </mc:AlternateConten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E458" w14:textId="26FE6FC3" w:rsidR="00D11ADD" w:rsidRPr="00D11ADD" w:rsidRDefault="00C41437" w:rsidP="00D11ADD">
    <w:pPr>
      <w:pStyle w:val="Footer"/>
      <w:rPr>
        <w:b/>
        <w:bCs/>
      </w:rPr>
    </w:pPr>
    <w:r>
      <w:rPr>
        <w:b/>
        <w:bCs/>
      </w:rPr>
      <w:ptab w:relativeTo="margin" w:alignment="center" w:leader="none"/>
    </w:r>
    <w:r w:rsidR="00D11ADD">
      <w:rPr>
        <w:b/>
        <w:bCs/>
        <w:noProof/>
      </w:rPr>
      <mc:AlternateContent>
        <mc:Choice Requires="wps">
          <w:drawing>
            <wp:anchor distT="0" distB="0" distL="114300" distR="114300" simplePos="0" relativeHeight="251659264" behindDoc="1" locked="0" layoutInCell="1" allowOverlap="1" wp14:anchorId="217CAD6B" wp14:editId="3B2A34BB">
              <wp:simplePos x="0" y="0"/>
              <wp:positionH relativeFrom="column">
                <wp:posOffset>-914400</wp:posOffset>
              </wp:positionH>
              <wp:positionV relativeFrom="paragraph">
                <wp:posOffset>-297018</wp:posOffset>
              </wp:positionV>
              <wp:extent cx="7751135" cy="903768"/>
              <wp:effectExtent l="0" t="0" r="2540" b="0"/>
              <wp:wrapNone/>
              <wp:docPr id="587698369" name="Rectangle 3"/>
              <wp:cNvGraphicFramePr/>
              <a:graphic xmlns:a="http://schemas.openxmlformats.org/drawingml/2006/main">
                <a:graphicData uri="http://schemas.microsoft.com/office/word/2010/wordprocessingShape">
                  <wps:wsp>
                    <wps:cNvSpPr/>
                    <wps:spPr>
                      <a:xfrm>
                        <a:off x="0" y="0"/>
                        <a:ext cx="7751135" cy="903768"/>
                      </a:xfrm>
                      <a:prstGeom prst="rect">
                        <a:avLst/>
                      </a:prstGeom>
                      <a:solidFill>
                        <a:schemeClr val="accent1">
                          <a:alpha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0AB2E" id="Rectangle 3" o:spid="_x0000_s1026" style="position:absolute;margin-left:-1in;margin-top:-23.4pt;width:610.35pt;height:71.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" fillcolor="#4472c4 [3204]" stroked="f" strokeweight="1pt">
              <v:fill opacity="32896f"/>
            </v:rect>
          </w:pict>
        </mc:Fallback>
      </mc:AlternateContent>
    </w:r>
    <w:r w:rsidR="00D11ADD" w:rsidRPr="000826F0">
      <w:rPr>
        <w:b/>
        <w:bCs/>
      </w:rPr>
      <w:t xml:space="preserve">Rogue Valley Transportation </w:t>
    </w:r>
    <w:proofErr w:type="gramStart"/>
    <w:r w:rsidR="00D11ADD" w:rsidRPr="000826F0">
      <w:rPr>
        <w:b/>
        <w:bCs/>
      </w:rPr>
      <w:t>Distric</w:t>
    </w:r>
    <w:r w:rsidR="00D11ADD">
      <w:rPr>
        <w:b/>
        <w:bCs/>
      </w:rPr>
      <w:t>t  |</w:t>
    </w:r>
    <w:proofErr w:type="gramEnd"/>
    <w:r w:rsidR="00D11ADD">
      <w:rPr>
        <w:b/>
        <w:bCs/>
      </w:rPr>
      <w:t xml:space="preserve">  </w:t>
    </w:r>
    <w:r w:rsidR="00D11ADD" w:rsidRPr="00176D64">
      <w:rPr>
        <w:b/>
        <w:bCs/>
      </w:rPr>
      <w:t>3200 Crater Lake Ave. Medford Oregon 97504</w:t>
    </w:r>
    <w:r w:rsidR="00D11ADD">
      <w:rPr>
        <w:b/>
        <w:bCs/>
      </w:rPr>
      <w:t xml:space="preserve">  |  </w:t>
    </w:r>
    <w:r w:rsidR="00D11ADD" w:rsidRPr="00176D64">
      <w:rPr>
        <w:b/>
        <w:bCs/>
      </w:rPr>
      <w:t>541-779-2877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2C68" w14:textId="77777777" w:rsidR="006B4A67" w:rsidRDefault="006B4A67" w:rsidP="00AB2D29">
      <w:pPr>
        <w:spacing w:after="0" w:line="240" w:lineRule="auto"/>
      </w:pPr>
      <w:r>
        <w:separator/>
      </w:r>
    </w:p>
  </w:footnote>
  <w:footnote w:type="continuationSeparator" w:id="0">
    <w:p w14:paraId="7E3BB2FD" w14:textId="77777777" w:rsidR="006B4A67" w:rsidRDefault="006B4A67" w:rsidP="00AB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0F42" w14:textId="40F6D8CA" w:rsidR="00AB2D29" w:rsidRDefault="00AB2D29">
    <w:pPr>
      <w:pStyle w:val="Header"/>
    </w:pPr>
    <w:r>
      <w:rPr>
        <w:noProof/>
      </w:rPr>
      <w:drawing>
        <wp:inline distT="0" distB="0" distL="0" distR="0" wp14:anchorId="17A86E0D" wp14:editId="499560E0">
          <wp:extent cx="1119123" cy="733647"/>
          <wp:effectExtent l="0" t="0" r="5080" b="9525"/>
          <wp:docPr id="13417121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71214"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532" cy="742438"/>
                  </a:xfrm>
                  <a:prstGeom prst="rect">
                    <a:avLst/>
                  </a:prstGeom>
                </pic:spPr>
              </pic:pic>
            </a:graphicData>
          </a:graphic>
        </wp:inline>
      </w:drawing>
    </w:r>
  </w:p>
  <w:p w14:paraId="144142B6" w14:textId="2E359063" w:rsidR="00AB2D29" w:rsidRDefault="00AB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DED6" w14:textId="0F81EA02" w:rsidR="00992E74" w:rsidRDefault="00992E74">
    <w:pPr>
      <w:pStyle w:val="Header"/>
    </w:pPr>
    <w:r>
      <w:rPr>
        <w:noProof/>
      </w:rPr>
      <w:drawing>
        <wp:inline distT="0" distB="0" distL="0" distR="0" wp14:anchorId="05FB17A3" wp14:editId="0CC67194">
          <wp:extent cx="1119123" cy="733647"/>
          <wp:effectExtent l="0" t="0" r="5080" b="9525"/>
          <wp:docPr id="1096026383" name="Picture 10960263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71214"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2532" cy="7424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FF8"/>
    <w:multiLevelType w:val="hybridMultilevel"/>
    <w:tmpl w:val="8E9C9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181F"/>
    <w:multiLevelType w:val="hybridMultilevel"/>
    <w:tmpl w:val="DC706260"/>
    <w:lvl w:ilvl="0" w:tplc="F7947730">
      <w:start w:val="1"/>
      <w:numFmt w:val="lowerLetter"/>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AF639F9"/>
    <w:multiLevelType w:val="hybridMultilevel"/>
    <w:tmpl w:val="61E89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352F"/>
    <w:multiLevelType w:val="hybridMultilevel"/>
    <w:tmpl w:val="026E9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3262"/>
    <w:multiLevelType w:val="hybridMultilevel"/>
    <w:tmpl w:val="93521B24"/>
    <w:lvl w:ilvl="0" w:tplc="C21C3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C3D38"/>
    <w:multiLevelType w:val="hybridMultilevel"/>
    <w:tmpl w:val="EA72A7EE"/>
    <w:lvl w:ilvl="0" w:tplc="C54EF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B2B18"/>
    <w:multiLevelType w:val="hybridMultilevel"/>
    <w:tmpl w:val="4A389A9E"/>
    <w:lvl w:ilvl="0" w:tplc="5324FB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4F0316"/>
    <w:multiLevelType w:val="hybridMultilevel"/>
    <w:tmpl w:val="BA7818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34CBF"/>
    <w:multiLevelType w:val="hybridMultilevel"/>
    <w:tmpl w:val="0F3E2EF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8B82A24"/>
    <w:multiLevelType w:val="hybridMultilevel"/>
    <w:tmpl w:val="1F00C08C"/>
    <w:lvl w:ilvl="0" w:tplc="74AC77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C7635D"/>
    <w:multiLevelType w:val="hybridMultilevel"/>
    <w:tmpl w:val="88D2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85A54"/>
    <w:multiLevelType w:val="hybridMultilevel"/>
    <w:tmpl w:val="62C6B3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616D1"/>
    <w:multiLevelType w:val="hybridMultilevel"/>
    <w:tmpl w:val="A0D6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52F8A"/>
    <w:multiLevelType w:val="multilevel"/>
    <w:tmpl w:val="FAEA94B8"/>
    <w:lvl w:ilvl="0">
      <w:start w:val="1"/>
      <w:numFmt w:val="decimal"/>
      <w:pStyle w:val="AttH-1H"/>
      <w:lvlText w:val="%1."/>
      <w:lvlJc w:val="left"/>
      <w:pPr>
        <w:ind w:left="0" w:hanging="360"/>
      </w:pPr>
      <w:rPr>
        <w:rFonts w:hint="default"/>
        <w:b/>
      </w:rPr>
    </w:lvl>
    <w:lvl w:ilvl="1">
      <w:start w:val="1"/>
      <w:numFmt w:val="upperLetter"/>
      <w:pStyle w:val="AttH-2H"/>
      <w:lvlText w:val="%2."/>
      <w:lvlJc w:val="left"/>
      <w:pPr>
        <w:tabs>
          <w:tab w:val="num" w:pos="504"/>
        </w:tabs>
        <w:ind w:left="504" w:hanging="360"/>
      </w:pPr>
      <w:rPr>
        <w:rFonts w:hint="default"/>
        <w:b/>
      </w:rPr>
    </w:lvl>
    <w:lvl w:ilvl="2">
      <w:start w:val="1"/>
      <w:numFmt w:val="lowerRoman"/>
      <w:pStyle w:val="AttH-3H"/>
      <w:lvlText w:val="%3."/>
      <w:lvlJc w:val="left"/>
      <w:pPr>
        <w:tabs>
          <w:tab w:val="num" w:pos="1008"/>
        </w:tabs>
        <w:ind w:left="1008"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2F27A0"/>
    <w:multiLevelType w:val="hybridMultilevel"/>
    <w:tmpl w:val="DD78DEEC"/>
    <w:lvl w:ilvl="0" w:tplc="453ED556">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80AE3"/>
    <w:multiLevelType w:val="hybridMultilevel"/>
    <w:tmpl w:val="CF8CCAEC"/>
    <w:lvl w:ilvl="0" w:tplc="E2F0CD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6D5D2A"/>
    <w:multiLevelType w:val="hybridMultilevel"/>
    <w:tmpl w:val="FCBEC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2062A"/>
    <w:multiLevelType w:val="hybridMultilevel"/>
    <w:tmpl w:val="635421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326711257">
    <w:abstractNumId w:val="3"/>
  </w:num>
  <w:num w:numId="2" w16cid:durableId="145246457">
    <w:abstractNumId w:val="11"/>
  </w:num>
  <w:num w:numId="3" w16cid:durableId="1189486489">
    <w:abstractNumId w:val="13"/>
  </w:num>
  <w:num w:numId="4" w16cid:durableId="655108890">
    <w:abstractNumId w:val="8"/>
  </w:num>
  <w:num w:numId="5" w16cid:durableId="1918401674">
    <w:abstractNumId w:val="17"/>
  </w:num>
  <w:num w:numId="6" w16cid:durableId="245723554">
    <w:abstractNumId w:val="1"/>
  </w:num>
  <w:num w:numId="7" w16cid:durableId="606237579">
    <w:abstractNumId w:val="2"/>
  </w:num>
  <w:num w:numId="8" w16cid:durableId="2034188001">
    <w:abstractNumId w:val="16"/>
  </w:num>
  <w:num w:numId="9" w16cid:durableId="2024358584">
    <w:abstractNumId w:val="4"/>
  </w:num>
  <w:num w:numId="10" w16cid:durableId="1637954392">
    <w:abstractNumId w:val="9"/>
  </w:num>
  <w:num w:numId="11" w16cid:durableId="37125477">
    <w:abstractNumId w:val="5"/>
  </w:num>
  <w:num w:numId="12" w16cid:durableId="1619141484">
    <w:abstractNumId w:val="0"/>
  </w:num>
  <w:num w:numId="13" w16cid:durableId="441725754">
    <w:abstractNumId w:val="6"/>
  </w:num>
  <w:num w:numId="14" w16cid:durableId="1669480820">
    <w:abstractNumId w:val="15"/>
  </w:num>
  <w:num w:numId="15" w16cid:durableId="1301764253">
    <w:abstractNumId w:val="14"/>
  </w:num>
  <w:num w:numId="16" w16cid:durableId="910651606">
    <w:abstractNumId w:val="10"/>
  </w:num>
  <w:num w:numId="17" w16cid:durableId="265313543">
    <w:abstractNumId w:val="7"/>
  </w:num>
  <w:num w:numId="18" w16cid:durableId="8159951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29"/>
    <w:rsid w:val="0000146B"/>
    <w:rsid w:val="00003D30"/>
    <w:rsid w:val="0000590B"/>
    <w:rsid w:val="00011744"/>
    <w:rsid w:val="00011767"/>
    <w:rsid w:val="00035AC3"/>
    <w:rsid w:val="0004247B"/>
    <w:rsid w:val="000432F9"/>
    <w:rsid w:val="0004580E"/>
    <w:rsid w:val="00051F34"/>
    <w:rsid w:val="000528FD"/>
    <w:rsid w:val="00053021"/>
    <w:rsid w:val="00054D87"/>
    <w:rsid w:val="00062805"/>
    <w:rsid w:val="00062862"/>
    <w:rsid w:val="000667A0"/>
    <w:rsid w:val="000707D6"/>
    <w:rsid w:val="000826F0"/>
    <w:rsid w:val="0008634B"/>
    <w:rsid w:val="00090BB6"/>
    <w:rsid w:val="00096146"/>
    <w:rsid w:val="00097003"/>
    <w:rsid w:val="00097B28"/>
    <w:rsid w:val="000A486B"/>
    <w:rsid w:val="000B1E1F"/>
    <w:rsid w:val="000B49A5"/>
    <w:rsid w:val="000B7A9B"/>
    <w:rsid w:val="000D322A"/>
    <w:rsid w:val="000E0599"/>
    <w:rsid w:val="000E2A39"/>
    <w:rsid w:val="000E49DD"/>
    <w:rsid w:val="000F3EFF"/>
    <w:rsid w:val="001023B6"/>
    <w:rsid w:val="00102C0D"/>
    <w:rsid w:val="0010545E"/>
    <w:rsid w:val="00105E91"/>
    <w:rsid w:val="00106668"/>
    <w:rsid w:val="00107581"/>
    <w:rsid w:val="00115EAC"/>
    <w:rsid w:val="0011677E"/>
    <w:rsid w:val="00130724"/>
    <w:rsid w:val="0013508E"/>
    <w:rsid w:val="00140854"/>
    <w:rsid w:val="00145AB3"/>
    <w:rsid w:val="00150389"/>
    <w:rsid w:val="001560E1"/>
    <w:rsid w:val="0016162F"/>
    <w:rsid w:val="0016694D"/>
    <w:rsid w:val="00173CD8"/>
    <w:rsid w:val="00176D20"/>
    <w:rsid w:val="00176D64"/>
    <w:rsid w:val="001800B8"/>
    <w:rsid w:val="00185832"/>
    <w:rsid w:val="001874B5"/>
    <w:rsid w:val="00187A34"/>
    <w:rsid w:val="00191111"/>
    <w:rsid w:val="0019358B"/>
    <w:rsid w:val="001A6B90"/>
    <w:rsid w:val="001A705E"/>
    <w:rsid w:val="001A72AB"/>
    <w:rsid w:val="001D4812"/>
    <w:rsid w:val="001E00FE"/>
    <w:rsid w:val="001E678A"/>
    <w:rsid w:val="001E7CAC"/>
    <w:rsid w:val="001F4311"/>
    <w:rsid w:val="001F46C0"/>
    <w:rsid w:val="00213962"/>
    <w:rsid w:val="00224C33"/>
    <w:rsid w:val="002268D5"/>
    <w:rsid w:val="00235A7C"/>
    <w:rsid w:val="00235C41"/>
    <w:rsid w:val="00236652"/>
    <w:rsid w:val="002416EA"/>
    <w:rsid w:val="002430D2"/>
    <w:rsid w:val="00253CCD"/>
    <w:rsid w:val="002546BA"/>
    <w:rsid w:val="00255255"/>
    <w:rsid w:val="00261BF1"/>
    <w:rsid w:val="00263479"/>
    <w:rsid w:val="002642EA"/>
    <w:rsid w:val="00264496"/>
    <w:rsid w:val="00271C52"/>
    <w:rsid w:val="00284F9E"/>
    <w:rsid w:val="00295B86"/>
    <w:rsid w:val="00296476"/>
    <w:rsid w:val="00296EB9"/>
    <w:rsid w:val="002B1214"/>
    <w:rsid w:val="002B272A"/>
    <w:rsid w:val="002B79D1"/>
    <w:rsid w:val="002C3CF1"/>
    <w:rsid w:val="002E69EE"/>
    <w:rsid w:val="00300CA2"/>
    <w:rsid w:val="003144C6"/>
    <w:rsid w:val="0031521C"/>
    <w:rsid w:val="00324264"/>
    <w:rsid w:val="00327611"/>
    <w:rsid w:val="00331D37"/>
    <w:rsid w:val="003325F2"/>
    <w:rsid w:val="00343E39"/>
    <w:rsid w:val="0034459F"/>
    <w:rsid w:val="003447C1"/>
    <w:rsid w:val="00346B85"/>
    <w:rsid w:val="003526F0"/>
    <w:rsid w:val="00374465"/>
    <w:rsid w:val="00374C4A"/>
    <w:rsid w:val="003756C3"/>
    <w:rsid w:val="00380669"/>
    <w:rsid w:val="00386699"/>
    <w:rsid w:val="00387A01"/>
    <w:rsid w:val="003A544C"/>
    <w:rsid w:val="003B1AF1"/>
    <w:rsid w:val="003B27CD"/>
    <w:rsid w:val="003B4A88"/>
    <w:rsid w:val="003C6FDE"/>
    <w:rsid w:val="003E0555"/>
    <w:rsid w:val="003E42B6"/>
    <w:rsid w:val="003F3065"/>
    <w:rsid w:val="00414883"/>
    <w:rsid w:val="00417997"/>
    <w:rsid w:val="00421BA5"/>
    <w:rsid w:val="004230D1"/>
    <w:rsid w:val="00441D13"/>
    <w:rsid w:val="00446578"/>
    <w:rsid w:val="00456861"/>
    <w:rsid w:val="00463FFD"/>
    <w:rsid w:val="00466586"/>
    <w:rsid w:val="00466AA9"/>
    <w:rsid w:val="00467836"/>
    <w:rsid w:val="00475CE1"/>
    <w:rsid w:val="00491D43"/>
    <w:rsid w:val="00495BB8"/>
    <w:rsid w:val="00497AFF"/>
    <w:rsid w:val="004B30EF"/>
    <w:rsid w:val="004C0725"/>
    <w:rsid w:val="004C1944"/>
    <w:rsid w:val="004C2AC8"/>
    <w:rsid w:val="004C6680"/>
    <w:rsid w:val="004D2612"/>
    <w:rsid w:val="004D4B17"/>
    <w:rsid w:val="004D551F"/>
    <w:rsid w:val="004E1841"/>
    <w:rsid w:val="004F02A2"/>
    <w:rsid w:val="004F1582"/>
    <w:rsid w:val="004F3F44"/>
    <w:rsid w:val="004F5294"/>
    <w:rsid w:val="004F6972"/>
    <w:rsid w:val="00514E5C"/>
    <w:rsid w:val="00522794"/>
    <w:rsid w:val="005259C2"/>
    <w:rsid w:val="005357C0"/>
    <w:rsid w:val="005438B6"/>
    <w:rsid w:val="005551DF"/>
    <w:rsid w:val="005652E1"/>
    <w:rsid w:val="005769EC"/>
    <w:rsid w:val="00585AE6"/>
    <w:rsid w:val="00590AA2"/>
    <w:rsid w:val="00593C99"/>
    <w:rsid w:val="005A009C"/>
    <w:rsid w:val="005C658B"/>
    <w:rsid w:val="005D4879"/>
    <w:rsid w:val="005E21A1"/>
    <w:rsid w:val="005E260A"/>
    <w:rsid w:val="005E3244"/>
    <w:rsid w:val="005F2893"/>
    <w:rsid w:val="00602A89"/>
    <w:rsid w:val="00605C0A"/>
    <w:rsid w:val="00611F1C"/>
    <w:rsid w:val="00614927"/>
    <w:rsid w:val="0062344B"/>
    <w:rsid w:val="00624849"/>
    <w:rsid w:val="00624E7F"/>
    <w:rsid w:val="00640ACD"/>
    <w:rsid w:val="00643163"/>
    <w:rsid w:val="00655FB9"/>
    <w:rsid w:val="00656E7A"/>
    <w:rsid w:val="00656F1C"/>
    <w:rsid w:val="00660456"/>
    <w:rsid w:val="006627A3"/>
    <w:rsid w:val="00674E8A"/>
    <w:rsid w:val="00695E71"/>
    <w:rsid w:val="00695E78"/>
    <w:rsid w:val="006A682D"/>
    <w:rsid w:val="006B0038"/>
    <w:rsid w:val="006B3E1F"/>
    <w:rsid w:val="006B4A67"/>
    <w:rsid w:val="006B5F6A"/>
    <w:rsid w:val="006D051C"/>
    <w:rsid w:val="006D1C9E"/>
    <w:rsid w:val="006F40AF"/>
    <w:rsid w:val="006F631F"/>
    <w:rsid w:val="00704A96"/>
    <w:rsid w:val="00717A0B"/>
    <w:rsid w:val="00725F97"/>
    <w:rsid w:val="007370CD"/>
    <w:rsid w:val="00742F49"/>
    <w:rsid w:val="00746C51"/>
    <w:rsid w:val="00760A81"/>
    <w:rsid w:val="007656E9"/>
    <w:rsid w:val="007658AF"/>
    <w:rsid w:val="00765C1B"/>
    <w:rsid w:val="0076699A"/>
    <w:rsid w:val="0077224A"/>
    <w:rsid w:val="007724AD"/>
    <w:rsid w:val="0077364F"/>
    <w:rsid w:val="00774DDF"/>
    <w:rsid w:val="00784814"/>
    <w:rsid w:val="00784BBD"/>
    <w:rsid w:val="0078728E"/>
    <w:rsid w:val="00792CEF"/>
    <w:rsid w:val="00797B33"/>
    <w:rsid w:val="007A30B1"/>
    <w:rsid w:val="007A52A9"/>
    <w:rsid w:val="007A7760"/>
    <w:rsid w:val="007A7F2E"/>
    <w:rsid w:val="007B025C"/>
    <w:rsid w:val="007B3AC6"/>
    <w:rsid w:val="007C118F"/>
    <w:rsid w:val="007D10DB"/>
    <w:rsid w:val="007D1164"/>
    <w:rsid w:val="007E6A94"/>
    <w:rsid w:val="007F25EA"/>
    <w:rsid w:val="007F2A0A"/>
    <w:rsid w:val="008175A8"/>
    <w:rsid w:val="00820167"/>
    <w:rsid w:val="008232ED"/>
    <w:rsid w:val="00831ADF"/>
    <w:rsid w:val="00832DE3"/>
    <w:rsid w:val="00836BEC"/>
    <w:rsid w:val="00836E9F"/>
    <w:rsid w:val="00844894"/>
    <w:rsid w:val="00854E24"/>
    <w:rsid w:val="008650C5"/>
    <w:rsid w:val="00867E72"/>
    <w:rsid w:val="00870864"/>
    <w:rsid w:val="00871AF0"/>
    <w:rsid w:val="00876C94"/>
    <w:rsid w:val="00877FF7"/>
    <w:rsid w:val="0088267D"/>
    <w:rsid w:val="008833BE"/>
    <w:rsid w:val="008A36AF"/>
    <w:rsid w:val="008A4B01"/>
    <w:rsid w:val="008B4D12"/>
    <w:rsid w:val="008B51E3"/>
    <w:rsid w:val="008C1DB4"/>
    <w:rsid w:val="008C669B"/>
    <w:rsid w:val="008E4182"/>
    <w:rsid w:val="008F7369"/>
    <w:rsid w:val="00914A81"/>
    <w:rsid w:val="00915A45"/>
    <w:rsid w:val="00927BD3"/>
    <w:rsid w:val="0093187A"/>
    <w:rsid w:val="00933EEA"/>
    <w:rsid w:val="00953E57"/>
    <w:rsid w:val="009575F5"/>
    <w:rsid w:val="00960F94"/>
    <w:rsid w:val="0096746F"/>
    <w:rsid w:val="0097260B"/>
    <w:rsid w:val="00973371"/>
    <w:rsid w:val="00976BFF"/>
    <w:rsid w:val="00981578"/>
    <w:rsid w:val="00992CF3"/>
    <w:rsid w:val="00992E74"/>
    <w:rsid w:val="009A4AE4"/>
    <w:rsid w:val="009A6960"/>
    <w:rsid w:val="009B2117"/>
    <w:rsid w:val="009B231F"/>
    <w:rsid w:val="009B68F7"/>
    <w:rsid w:val="009B7B7A"/>
    <w:rsid w:val="009B7D97"/>
    <w:rsid w:val="009C77EB"/>
    <w:rsid w:val="009D3959"/>
    <w:rsid w:val="009D529F"/>
    <w:rsid w:val="009E4A44"/>
    <w:rsid w:val="00A0421E"/>
    <w:rsid w:val="00A042A4"/>
    <w:rsid w:val="00A05E63"/>
    <w:rsid w:val="00A05F0D"/>
    <w:rsid w:val="00A07100"/>
    <w:rsid w:val="00A133D6"/>
    <w:rsid w:val="00A159AC"/>
    <w:rsid w:val="00A33C08"/>
    <w:rsid w:val="00A35762"/>
    <w:rsid w:val="00A45C90"/>
    <w:rsid w:val="00A53F55"/>
    <w:rsid w:val="00A56D88"/>
    <w:rsid w:val="00A65FB6"/>
    <w:rsid w:val="00A6718C"/>
    <w:rsid w:val="00A7149B"/>
    <w:rsid w:val="00AA06EB"/>
    <w:rsid w:val="00AA3A32"/>
    <w:rsid w:val="00AB2D29"/>
    <w:rsid w:val="00AC3989"/>
    <w:rsid w:val="00AC73A6"/>
    <w:rsid w:val="00AD1480"/>
    <w:rsid w:val="00AD658F"/>
    <w:rsid w:val="00AF6FFA"/>
    <w:rsid w:val="00AF75BB"/>
    <w:rsid w:val="00B02E55"/>
    <w:rsid w:val="00B06D42"/>
    <w:rsid w:val="00B16866"/>
    <w:rsid w:val="00B213BD"/>
    <w:rsid w:val="00B251B3"/>
    <w:rsid w:val="00B313D8"/>
    <w:rsid w:val="00B3631A"/>
    <w:rsid w:val="00B4594E"/>
    <w:rsid w:val="00B47547"/>
    <w:rsid w:val="00B5537E"/>
    <w:rsid w:val="00B640AF"/>
    <w:rsid w:val="00B73BBF"/>
    <w:rsid w:val="00B7789F"/>
    <w:rsid w:val="00B813FE"/>
    <w:rsid w:val="00B82CCE"/>
    <w:rsid w:val="00B838B3"/>
    <w:rsid w:val="00B922B8"/>
    <w:rsid w:val="00B922DC"/>
    <w:rsid w:val="00B923DD"/>
    <w:rsid w:val="00BA3028"/>
    <w:rsid w:val="00BA5125"/>
    <w:rsid w:val="00BA7794"/>
    <w:rsid w:val="00BB7571"/>
    <w:rsid w:val="00BB7A78"/>
    <w:rsid w:val="00BE61C6"/>
    <w:rsid w:val="00C10DE2"/>
    <w:rsid w:val="00C10F07"/>
    <w:rsid w:val="00C122B8"/>
    <w:rsid w:val="00C22D36"/>
    <w:rsid w:val="00C26A3D"/>
    <w:rsid w:val="00C33687"/>
    <w:rsid w:val="00C363CB"/>
    <w:rsid w:val="00C40682"/>
    <w:rsid w:val="00C40CBB"/>
    <w:rsid w:val="00C41437"/>
    <w:rsid w:val="00C51FC5"/>
    <w:rsid w:val="00C55C27"/>
    <w:rsid w:val="00C56270"/>
    <w:rsid w:val="00C6462B"/>
    <w:rsid w:val="00C82BA7"/>
    <w:rsid w:val="00C950AC"/>
    <w:rsid w:val="00C96102"/>
    <w:rsid w:val="00C96881"/>
    <w:rsid w:val="00C97EEA"/>
    <w:rsid w:val="00CA3BF2"/>
    <w:rsid w:val="00CA4C24"/>
    <w:rsid w:val="00CB09D6"/>
    <w:rsid w:val="00CC1085"/>
    <w:rsid w:val="00CC1A7B"/>
    <w:rsid w:val="00CC3DF4"/>
    <w:rsid w:val="00CD5087"/>
    <w:rsid w:val="00CE66B4"/>
    <w:rsid w:val="00CE7BEA"/>
    <w:rsid w:val="00CF0D1F"/>
    <w:rsid w:val="00CF2DFA"/>
    <w:rsid w:val="00D012C8"/>
    <w:rsid w:val="00D05F18"/>
    <w:rsid w:val="00D06152"/>
    <w:rsid w:val="00D071B1"/>
    <w:rsid w:val="00D111D2"/>
    <w:rsid w:val="00D11ADD"/>
    <w:rsid w:val="00D22EA7"/>
    <w:rsid w:val="00D2464C"/>
    <w:rsid w:val="00D253F0"/>
    <w:rsid w:val="00D30E89"/>
    <w:rsid w:val="00D36B12"/>
    <w:rsid w:val="00D410F3"/>
    <w:rsid w:val="00D50AF3"/>
    <w:rsid w:val="00D578F2"/>
    <w:rsid w:val="00D62AFF"/>
    <w:rsid w:val="00D67CC3"/>
    <w:rsid w:val="00D728DD"/>
    <w:rsid w:val="00D822E8"/>
    <w:rsid w:val="00D82EAC"/>
    <w:rsid w:val="00D8344B"/>
    <w:rsid w:val="00D8370D"/>
    <w:rsid w:val="00D871B1"/>
    <w:rsid w:val="00D955A0"/>
    <w:rsid w:val="00D97A8A"/>
    <w:rsid w:val="00DB19EA"/>
    <w:rsid w:val="00DC0090"/>
    <w:rsid w:val="00DC36B3"/>
    <w:rsid w:val="00DD4228"/>
    <w:rsid w:val="00DD66A8"/>
    <w:rsid w:val="00DE3712"/>
    <w:rsid w:val="00DE631B"/>
    <w:rsid w:val="00DF7AA2"/>
    <w:rsid w:val="00E03008"/>
    <w:rsid w:val="00E034CF"/>
    <w:rsid w:val="00E04F0A"/>
    <w:rsid w:val="00E20246"/>
    <w:rsid w:val="00E238E1"/>
    <w:rsid w:val="00E2719D"/>
    <w:rsid w:val="00E2797A"/>
    <w:rsid w:val="00E33033"/>
    <w:rsid w:val="00E36214"/>
    <w:rsid w:val="00E37FE4"/>
    <w:rsid w:val="00E406FD"/>
    <w:rsid w:val="00E425B5"/>
    <w:rsid w:val="00E46325"/>
    <w:rsid w:val="00E4654F"/>
    <w:rsid w:val="00E50E7E"/>
    <w:rsid w:val="00E52873"/>
    <w:rsid w:val="00E62243"/>
    <w:rsid w:val="00E66D8A"/>
    <w:rsid w:val="00E73F2D"/>
    <w:rsid w:val="00E86A41"/>
    <w:rsid w:val="00E91C34"/>
    <w:rsid w:val="00E91F09"/>
    <w:rsid w:val="00E9572A"/>
    <w:rsid w:val="00E97718"/>
    <w:rsid w:val="00EA6476"/>
    <w:rsid w:val="00EB14F2"/>
    <w:rsid w:val="00EB377D"/>
    <w:rsid w:val="00EC717E"/>
    <w:rsid w:val="00EE332B"/>
    <w:rsid w:val="00EF3904"/>
    <w:rsid w:val="00EF7DD5"/>
    <w:rsid w:val="00F0152C"/>
    <w:rsid w:val="00F01FC5"/>
    <w:rsid w:val="00F0496E"/>
    <w:rsid w:val="00F1228F"/>
    <w:rsid w:val="00F2095A"/>
    <w:rsid w:val="00F33CFF"/>
    <w:rsid w:val="00F36AD9"/>
    <w:rsid w:val="00F4007F"/>
    <w:rsid w:val="00F50725"/>
    <w:rsid w:val="00F6113A"/>
    <w:rsid w:val="00F6438D"/>
    <w:rsid w:val="00F67B88"/>
    <w:rsid w:val="00F71C79"/>
    <w:rsid w:val="00F80945"/>
    <w:rsid w:val="00F82388"/>
    <w:rsid w:val="00F84CD8"/>
    <w:rsid w:val="00F8640D"/>
    <w:rsid w:val="00FA3978"/>
    <w:rsid w:val="00FB0AB6"/>
    <w:rsid w:val="00FC47A6"/>
    <w:rsid w:val="00FD4451"/>
    <w:rsid w:val="00FF4640"/>
    <w:rsid w:val="00FF4AB5"/>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8015"/>
  <w15:chartTrackingRefBased/>
  <w15:docId w15:val="{FDFB495B-308D-488F-BE70-E0AC5B85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8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D29"/>
  </w:style>
  <w:style w:type="paragraph" w:styleId="Footer">
    <w:name w:val="footer"/>
    <w:basedOn w:val="Normal"/>
    <w:link w:val="FooterChar"/>
    <w:uiPriority w:val="99"/>
    <w:unhideWhenUsed/>
    <w:rsid w:val="00AB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D29"/>
  </w:style>
  <w:style w:type="paragraph" w:styleId="NoSpacing">
    <w:name w:val="No Spacing"/>
    <w:uiPriority w:val="1"/>
    <w:qFormat/>
    <w:rsid w:val="00AB2D29"/>
    <w:pPr>
      <w:spacing w:after="0" w:line="240" w:lineRule="auto"/>
    </w:pPr>
  </w:style>
  <w:style w:type="character" w:styleId="Hyperlink">
    <w:name w:val="Hyperlink"/>
    <w:basedOn w:val="DefaultParagraphFont"/>
    <w:uiPriority w:val="99"/>
    <w:unhideWhenUsed/>
    <w:rsid w:val="001F46C0"/>
    <w:rPr>
      <w:color w:val="0563C1" w:themeColor="hyperlink"/>
      <w:u w:val="single"/>
    </w:rPr>
  </w:style>
  <w:style w:type="character" w:styleId="UnresolvedMention">
    <w:name w:val="Unresolved Mention"/>
    <w:basedOn w:val="DefaultParagraphFont"/>
    <w:uiPriority w:val="99"/>
    <w:semiHidden/>
    <w:unhideWhenUsed/>
    <w:rsid w:val="001F46C0"/>
    <w:rPr>
      <w:color w:val="605E5C"/>
      <w:shd w:val="clear" w:color="auto" w:fill="E1DFDD"/>
    </w:rPr>
  </w:style>
  <w:style w:type="character" w:customStyle="1" w:styleId="Heading1Char">
    <w:name w:val="Heading 1 Char"/>
    <w:basedOn w:val="DefaultParagraphFont"/>
    <w:link w:val="Heading1"/>
    <w:uiPriority w:val="9"/>
    <w:rsid w:val="0041488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14883"/>
    <w:pPr>
      <w:outlineLvl w:val="9"/>
    </w:pPr>
    <w:rPr>
      <w:kern w:val="0"/>
      <w14:ligatures w14:val="none"/>
    </w:rPr>
  </w:style>
  <w:style w:type="paragraph" w:styleId="TOC1">
    <w:name w:val="toc 1"/>
    <w:basedOn w:val="Normal"/>
    <w:next w:val="Normal"/>
    <w:autoRedefine/>
    <w:uiPriority w:val="39"/>
    <w:unhideWhenUsed/>
    <w:rsid w:val="00A65FB6"/>
    <w:pPr>
      <w:spacing w:after="100"/>
    </w:pPr>
  </w:style>
  <w:style w:type="paragraph" w:styleId="ListParagraph">
    <w:name w:val="List Paragraph"/>
    <w:basedOn w:val="Normal"/>
    <w:uiPriority w:val="34"/>
    <w:qFormat/>
    <w:rsid w:val="00346B85"/>
    <w:pPr>
      <w:ind w:left="720"/>
      <w:contextualSpacing/>
    </w:pPr>
  </w:style>
  <w:style w:type="paragraph" w:customStyle="1" w:styleId="AttH-1H">
    <w:name w:val="AttH - 1H"/>
    <w:basedOn w:val="Normal"/>
    <w:rsid w:val="00867E72"/>
    <w:pPr>
      <w:numPr>
        <w:numId w:val="3"/>
      </w:numPr>
    </w:pPr>
  </w:style>
  <w:style w:type="paragraph" w:customStyle="1" w:styleId="AttH-2H">
    <w:name w:val="AttH - 2H"/>
    <w:basedOn w:val="Normal"/>
    <w:rsid w:val="00867E72"/>
    <w:pPr>
      <w:numPr>
        <w:ilvl w:val="1"/>
        <w:numId w:val="3"/>
      </w:numPr>
    </w:pPr>
  </w:style>
  <w:style w:type="paragraph" w:customStyle="1" w:styleId="AttH-3H">
    <w:name w:val="AttH - 3H"/>
    <w:basedOn w:val="Normal"/>
    <w:rsid w:val="00867E72"/>
    <w:pPr>
      <w:numPr>
        <w:ilvl w:val="2"/>
        <w:numId w:val="3"/>
      </w:numPr>
    </w:pPr>
  </w:style>
  <w:style w:type="table" w:styleId="TableGrid">
    <w:name w:val="Table Grid"/>
    <w:basedOn w:val="TableNormal"/>
    <w:uiPriority w:val="59"/>
    <w:rsid w:val="001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ristensen@rvtd.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it.dot.gov/funding/procurement/best-practices-procurement-manu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christensen@rvtd.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049FD-35D8-48FE-878A-11C98C7E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31</Pages>
  <Words>9093</Words>
  <Characters>51833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Christensen</dc:creator>
  <cp:keywords/>
  <dc:description/>
  <cp:lastModifiedBy>Matt Christensen</cp:lastModifiedBy>
  <cp:revision>430</cp:revision>
  <cp:lastPrinted>2023-07-18T22:22:00Z</cp:lastPrinted>
  <dcterms:created xsi:type="dcterms:W3CDTF">2023-07-18T21:34:00Z</dcterms:created>
  <dcterms:modified xsi:type="dcterms:W3CDTF">2023-08-01T22:45:00Z</dcterms:modified>
</cp:coreProperties>
</file>